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3BE" w:rsidRDefault="005273BE" w:rsidP="005273BE">
      <w:pPr>
        <w:ind w:left="6372" w:firstLine="708"/>
        <w:jc w:val="both"/>
        <w:rPr>
          <w:rFonts w:ascii="Arial" w:hAnsi="Arial" w:cs="Arial"/>
          <w:b/>
          <w:bCs/>
          <w:color w:val="000000"/>
          <w:sz w:val="36"/>
          <w:szCs w:val="36"/>
        </w:rPr>
      </w:pPr>
      <w:bookmarkStart w:id="0" w:name="_GoBack"/>
      <w:bookmarkEnd w:id="0"/>
      <w:r>
        <w:rPr>
          <w:rFonts w:ascii="Arial" w:hAnsi="Arial" w:cs="Arial"/>
          <w:b/>
          <w:bCs/>
          <w:color w:val="000000"/>
          <w:sz w:val="36"/>
          <w:szCs w:val="36"/>
        </w:rPr>
        <w:t xml:space="preserve">Bod č.  </w:t>
      </w:r>
    </w:p>
    <w:p w:rsidR="005273BE" w:rsidRDefault="005273BE" w:rsidP="005273BE">
      <w:pPr>
        <w:jc w:val="both"/>
        <w:rPr>
          <w:rFonts w:ascii="Arial" w:hAnsi="Arial" w:cs="Arial"/>
          <w:b/>
          <w:bCs/>
          <w:color w:val="000000"/>
          <w:sz w:val="36"/>
          <w:szCs w:val="36"/>
        </w:rPr>
      </w:pPr>
      <w:r>
        <w:rPr>
          <w:rFonts w:ascii="Arial" w:hAnsi="Arial" w:cs="Arial"/>
          <w:b/>
          <w:bCs/>
          <w:color w:val="000000"/>
          <w:sz w:val="36"/>
          <w:szCs w:val="36"/>
        </w:rPr>
        <w:t>Zastupiteľstvo Bratislavského samosprávneho kraja</w:t>
      </w:r>
    </w:p>
    <w:p w:rsidR="005273BE" w:rsidRDefault="005273BE" w:rsidP="005273BE">
      <w:pPr>
        <w:jc w:val="both"/>
        <w:rPr>
          <w:rFonts w:ascii="Arial" w:hAnsi="Arial" w:cs="Arial"/>
          <w:b/>
          <w:bCs/>
          <w:color w:val="000000"/>
          <w:sz w:val="36"/>
          <w:szCs w:val="36"/>
        </w:rPr>
      </w:pPr>
    </w:p>
    <w:p w:rsidR="005273BE" w:rsidRDefault="005273BE" w:rsidP="005273BE">
      <w:pPr>
        <w:jc w:val="both"/>
        <w:rPr>
          <w:rFonts w:ascii="Arial" w:hAnsi="Arial" w:cs="Arial"/>
          <w:b/>
          <w:bCs/>
          <w:color w:val="000000"/>
          <w:sz w:val="22"/>
          <w:szCs w:val="22"/>
        </w:rPr>
      </w:pPr>
    </w:p>
    <w:p w:rsidR="005273BE" w:rsidRDefault="005273BE" w:rsidP="005273BE">
      <w:pPr>
        <w:jc w:val="both"/>
        <w:rPr>
          <w:rFonts w:ascii="Arial" w:hAnsi="Arial" w:cs="Arial"/>
          <w:bCs/>
          <w:color w:val="000000"/>
          <w:sz w:val="22"/>
          <w:szCs w:val="22"/>
        </w:rPr>
      </w:pPr>
      <w:r>
        <w:rPr>
          <w:rFonts w:ascii="Arial" w:hAnsi="Arial" w:cs="Arial"/>
          <w:bCs/>
          <w:color w:val="000000"/>
          <w:sz w:val="22"/>
          <w:szCs w:val="22"/>
        </w:rPr>
        <w:t>Materiál na rokovanie Zastupiteľstva</w:t>
      </w:r>
    </w:p>
    <w:p w:rsidR="005273BE" w:rsidRDefault="005273BE" w:rsidP="005273BE">
      <w:pPr>
        <w:jc w:val="both"/>
        <w:rPr>
          <w:rFonts w:ascii="Arial" w:hAnsi="Arial" w:cs="Arial"/>
          <w:bCs/>
          <w:color w:val="000000"/>
          <w:sz w:val="22"/>
          <w:szCs w:val="22"/>
        </w:rPr>
      </w:pPr>
      <w:r>
        <w:rPr>
          <w:rFonts w:ascii="Arial" w:hAnsi="Arial" w:cs="Arial"/>
          <w:bCs/>
          <w:color w:val="000000"/>
          <w:sz w:val="22"/>
          <w:szCs w:val="22"/>
        </w:rPr>
        <w:t>Bratislavského samosprávneho kraja</w:t>
      </w:r>
    </w:p>
    <w:p w:rsidR="005273BE" w:rsidRDefault="005273BE" w:rsidP="005273BE">
      <w:pPr>
        <w:jc w:val="both"/>
        <w:rPr>
          <w:rFonts w:ascii="Arial" w:hAnsi="Arial" w:cs="Arial"/>
          <w:bCs/>
          <w:color w:val="000000"/>
          <w:sz w:val="22"/>
          <w:szCs w:val="22"/>
        </w:rPr>
      </w:pPr>
      <w:r>
        <w:rPr>
          <w:rFonts w:ascii="Arial" w:hAnsi="Arial" w:cs="Arial"/>
          <w:bCs/>
          <w:color w:val="000000"/>
          <w:sz w:val="22"/>
          <w:szCs w:val="22"/>
        </w:rPr>
        <w:t>Dňa 19. apríla 2013</w:t>
      </w:r>
    </w:p>
    <w:p w:rsidR="005273BE" w:rsidRPr="00A405DD" w:rsidRDefault="005273BE" w:rsidP="005273BE">
      <w:pPr>
        <w:jc w:val="center"/>
        <w:rPr>
          <w:rFonts w:ascii="Arial" w:hAnsi="Arial" w:cs="Arial"/>
          <w:b/>
        </w:rPr>
      </w:pPr>
    </w:p>
    <w:p w:rsidR="005273BE" w:rsidRPr="00A405DD" w:rsidRDefault="005273BE" w:rsidP="005273BE">
      <w:pPr>
        <w:rPr>
          <w:rFonts w:ascii="Arial" w:hAnsi="Arial" w:cs="Arial"/>
          <w:b/>
        </w:rPr>
      </w:pPr>
    </w:p>
    <w:p w:rsidR="005273BE" w:rsidRPr="00A405DD" w:rsidRDefault="005273BE" w:rsidP="005273BE">
      <w:pPr>
        <w:jc w:val="center"/>
        <w:rPr>
          <w:rFonts w:ascii="Arial" w:hAnsi="Arial" w:cs="Arial"/>
          <w:b/>
        </w:rPr>
      </w:pPr>
    </w:p>
    <w:p w:rsidR="005273BE" w:rsidRPr="00A405DD" w:rsidRDefault="005273BE" w:rsidP="005273BE">
      <w:pPr>
        <w:jc w:val="center"/>
        <w:rPr>
          <w:rFonts w:ascii="Arial" w:hAnsi="Arial" w:cs="Arial"/>
          <w:b/>
        </w:rPr>
      </w:pPr>
    </w:p>
    <w:p w:rsidR="005273BE" w:rsidRPr="00A405DD" w:rsidRDefault="005273BE" w:rsidP="005273BE">
      <w:pPr>
        <w:jc w:val="center"/>
        <w:rPr>
          <w:rFonts w:ascii="Arial" w:hAnsi="Arial" w:cs="Arial"/>
          <w:b/>
        </w:rPr>
      </w:pPr>
    </w:p>
    <w:p w:rsidR="005273BE" w:rsidRPr="00A405DD" w:rsidRDefault="005273BE" w:rsidP="005273BE">
      <w:pPr>
        <w:jc w:val="center"/>
        <w:rPr>
          <w:rFonts w:ascii="Arial" w:hAnsi="Arial" w:cs="Arial"/>
          <w:b/>
        </w:rPr>
      </w:pPr>
    </w:p>
    <w:p w:rsidR="005273BE" w:rsidRPr="00A405DD" w:rsidRDefault="005273BE" w:rsidP="005273BE">
      <w:pPr>
        <w:jc w:val="center"/>
        <w:rPr>
          <w:rFonts w:ascii="Arial" w:hAnsi="Arial" w:cs="Arial"/>
          <w:b/>
          <w:sz w:val="32"/>
          <w:szCs w:val="32"/>
        </w:rPr>
      </w:pPr>
      <w:r>
        <w:rPr>
          <w:rFonts w:ascii="Arial" w:hAnsi="Arial" w:cs="Arial"/>
          <w:b/>
          <w:sz w:val="32"/>
          <w:szCs w:val="32"/>
        </w:rPr>
        <w:t>Informácia</w:t>
      </w:r>
    </w:p>
    <w:p w:rsidR="005273BE" w:rsidRPr="00A405DD" w:rsidRDefault="005273BE" w:rsidP="005273BE">
      <w:pPr>
        <w:jc w:val="center"/>
        <w:rPr>
          <w:rFonts w:ascii="Arial" w:hAnsi="Arial" w:cs="Arial"/>
          <w:b/>
        </w:rPr>
      </w:pPr>
    </w:p>
    <w:p w:rsidR="005273BE" w:rsidRPr="00A405DD" w:rsidRDefault="005273BE" w:rsidP="005273BE">
      <w:pPr>
        <w:pBdr>
          <w:bottom w:val="single" w:sz="4" w:space="1" w:color="auto"/>
        </w:pBdr>
        <w:jc w:val="center"/>
        <w:rPr>
          <w:rFonts w:ascii="Arial" w:hAnsi="Arial" w:cs="Arial"/>
          <w:b/>
        </w:rPr>
      </w:pPr>
      <w:r>
        <w:rPr>
          <w:rFonts w:ascii="Arial" w:hAnsi="Arial" w:cs="Arial"/>
          <w:b/>
        </w:rPr>
        <w:t>o stave prípravy programového obdobia 2014 - 2020</w:t>
      </w:r>
    </w:p>
    <w:p w:rsidR="005273BE" w:rsidRPr="00A405DD" w:rsidRDefault="005273BE" w:rsidP="005273BE">
      <w:pPr>
        <w:pBdr>
          <w:bottom w:val="single" w:sz="4" w:space="1" w:color="auto"/>
        </w:pBdr>
        <w:jc w:val="both"/>
        <w:rPr>
          <w:rFonts w:ascii="Arial" w:hAnsi="Arial" w:cs="Arial"/>
          <w:b/>
        </w:rPr>
      </w:pPr>
    </w:p>
    <w:p w:rsidR="005273BE" w:rsidRPr="00A405DD" w:rsidRDefault="005273BE" w:rsidP="005273BE">
      <w:pPr>
        <w:rPr>
          <w:rFonts w:ascii="Arial" w:hAnsi="Arial" w:cs="Arial"/>
          <w:b/>
        </w:rPr>
      </w:pPr>
    </w:p>
    <w:p w:rsidR="005273BE" w:rsidRPr="00A405DD" w:rsidRDefault="005273BE" w:rsidP="005273BE">
      <w:pPr>
        <w:rPr>
          <w:rFonts w:ascii="Arial" w:hAnsi="Arial" w:cs="Arial"/>
          <w:b/>
        </w:rPr>
      </w:pPr>
    </w:p>
    <w:p w:rsidR="005273BE" w:rsidRPr="00A405DD" w:rsidRDefault="005273BE" w:rsidP="005273BE">
      <w:pPr>
        <w:jc w:val="both"/>
        <w:rPr>
          <w:rFonts w:ascii="Arial" w:hAnsi="Arial" w:cs="Arial"/>
          <w:u w:val="single"/>
        </w:rPr>
      </w:pPr>
    </w:p>
    <w:p w:rsidR="005273BE" w:rsidRDefault="005273BE" w:rsidP="005273BE">
      <w:pPr>
        <w:tabs>
          <w:tab w:val="left" w:pos="5670"/>
        </w:tabs>
        <w:jc w:val="both"/>
        <w:rPr>
          <w:rFonts w:ascii="Arial" w:hAnsi="Arial" w:cs="Arial"/>
          <w:bCs/>
          <w:color w:val="000000"/>
          <w:sz w:val="22"/>
          <w:szCs w:val="22"/>
        </w:rPr>
      </w:pPr>
      <w:r>
        <w:rPr>
          <w:rFonts w:ascii="Arial" w:hAnsi="Arial" w:cs="Arial"/>
          <w:bCs/>
          <w:color w:val="000000"/>
          <w:sz w:val="22"/>
          <w:szCs w:val="22"/>
          <w:u w:val="single"/>
        </w:rPr>
        <w:t>Materiál predkladá:</w:t>
      </w:r>
      <w:r>
        <w:rPr>
          <w:rFonts w:ascii="Arial" w:hAnsi="Arial" w:cs="Arial"/>
          <w:bCs/>
          <w:color w:val="000000"/>
          <w:sz w:val="22"/>
          <w:szCs w:val="22"/>
        </w:rPr>
        <w:tab/>
      </w:r>
      <w:r>
        <w:rPr>
          <w:rFonts w:ascii="Arial" w:hAnsi="Arial" w:cs="Arial"/>
          <w:bCs/>
          <w:color w:val="000000"/>
          <w:sz w:val="22"/>
          <w:szCs w:val="22"/>
          <w:u w:val="single"/>
        </w:rPr>
        <w:t>Materiál obsahuje:</w:t>
      </w:r>
    </w:p>
    <w:p w:rsidR="005273BE" w:rsidRDefault="005273BE" w:rsidP="005273BE">
      <w:pPr>
        <w:tabs>
          <w:tab w:val="left" w:pos="5670"/>
        </w:tabs>
        <w:jc w:val="both"/>
        <w:rPr>
          <w:rFonts w:ascii="Arial" w:hAnsi="Arial" w:cs="Arial"/>
          <w:bCs/>
          <w:color w:val="000000"/>
          <w:sz w:val="22"/>
          <w:szCs w:val="22"/>
        </w:rPr>
      </w:pPr>
    </w:p>
    <w:p w:rsidR="005273BE" w:rsidRDefault="005273BE" w:rsidP="005273BE">
      <w:pPr>
        <w:tabs>
          <w:tab w:val="left" w:pos="5670"/>
        </w:tabs>
        <w:ind w:right="-36"/>
        <w:jc w:val="both"/>
        <w:rPr>
          <w:rFonts w:ascii="Arial" w:hAnsi="Arial" w:cs="Arial"/>
          <w:bCs/>
          <w:color w:val="000000"/>
          <w:sz w:val="22"/>
          <w:szCs w:val="22"/>
        </w:rPr>
      </w:pPr>
      <w:r>
        <w:rPr>
          <w:rFonts w:ascii="Arial" w:hAnsi="Arial" w:cs="Arial"/>
          <w:bCs/>
          <w:color w:val="000000"/>
          <w:sz w:val="22"/>
          <w:szCs w:val="22"/>
        </w:rPr>
        <w:t>JUDr. Ivo Nesrovnal</w:t>
      </w:r>
      <w:r>
        <w:rPr>
          <w:rFonts w:ascii="Arial" w:hAnsi="Arial" w:cs="Arial"/>
          <w:b/>
          <w:bCs/>
          <w:color w:val="000000"/>
          <w:sz w:val="22"/>
          <w:szCs w:val="22"/>
        </w:rPr>
        <w:tab/>
      </w:r>
      <w:r>
        <w:rPr>
          <w:rFonts w:ascii="Arial" w:hAnsi="Arial" w:cs="Arial"/>
          <w:bCs/>
          <w:color w:val="000000"/>
          <w:sz w:val="22"/>
          <w:szCs w:val="22"/>
        </w:rPr>
        <w:t>1.  Návrh uznesenia</w:t>
      </w:r>
    </w:p>
    <w:p w:rsidR="005273BE" w:rsidRDefault="005273BE" w:rsidP="005273BE">
      <w:pPr>
        <w:tabs>
          <w:tab w:val="left" w:pos="5670"/>
        </w:tabs>
        <w:jc w:val="both"/>
        <w:rPr>
          <w:rFonts w:ascii="Arial" w:hAnsi="Arial" w:cs="Arial"/>
          <w:bCs/>
          <w:color w:val="000000"/>
          <w:sz w:val="22"/>
          <w:szCs w:val="22"/>
        </w:rPr>
      </w:pPr>
      <w:r>
        <w:rPr>
          <w:rFonts w:ascii="Arial" w:hAnsi="Arial" w:cs="Arial"/>
          <w:bCs/>
          <w:color w:val="000000"/>
          <w:sz w:val="22"/>
          <w:szCs w:val="22"/>
        </w:rPr>
        <w:t xml:space="preserve">podpredseda Bratislavského  </w:t>
      </w:r>
      <w:r>
        <w:rPr>
          <w:rFonts w:ascii="Arial" w:hAnsi="Arial" w:cs="Arial"/>
          <w:bCs/>
          <w:color w:val="000000"/>
          <w:sz w:val="22"/>
          <w:szCs w:val="22"/>
        </w:rPr>
        <w:tab/>
        <w:t>2.  Dôvodová správa</w:t>
      </w:r>
    </w:p>
    <w:p w:rsidR="005273BE" w:rsidRDefault="005273BE" w:rsidP="005273BE">
      <w:pPr>
        <w:tabs>
          <w:tab w:val="left" w:pos="5670"/>
        </w:tabs>
        <w:jc w:val="both"/>
        <w:rPr>
          <w:rFonts w:ascii="Arial" w:hAnsi="Arial" w:cs="Arial"/>
          <w:bCs/>
          <w:color w:val="000000"/>
          <w:sz w:val="22"/>
          <w:szCs w:val="22"/>
        </w:rPr>
      </w:pPr>
      <w:r>
        <w:rPr>
          <w:rFonts w:ascii="Arial" w:hAnsi="Arial" w:cs="Arial"/>
          <w:bCs/>
          <w:color w:val="000000"/>
          <w:sz w:val="22"/>
          <w:szCs w:val="22"/>
        </w:rPr>
        <w:t>samosprávneho kraja</w:t>
      </w:r>
      <w:r>
        <w:rPr>
          <w:rFonts w:ascii="Arial" w:hAnsi="Arial" w:cs="Arial"/>
          <w:bCs/>
          <w:color w:val="000000"/>
          <w:sz w:val="22"/>
          <w:szCs w:val="22"/>
        </w:rPr>
        <w:tab/>
        <w:t>3.  Stanoviská komisií</w:t>
      </w:r>
    </w:p>
    <w:p w:rsidR="005273BE" w:rsidRDefault="005273BE" w:rsidP="005273BE">
      <w:pPr>
        <w:tabs>
          <w:tab w:val="left" w:pos="5670"/>
        </w:tabs>
        <w:jc w:val="both"/>
        <w:rPr>
          <w:rFonts w:ascii="Arial" w:hAnsi="Arial" w:cs="Arial"/>
          <w:bCs/>
          <w:color w:val="000000"/>
          <w:sz w:val="22"/>
          <w:szCs w:val="22"/>
        </w:rPr>
      </w:pPr>
    </w:p>
    <w:p w:rsidR="005273BE" w:rsidRDefault="005273BE" w:rsidP="005273BE">
      <w:pPr>
        <w:jc w:val="both"/>
        <w:rPr>
          <w:rFonts w:ascii="Arial" w:hAnsi="Arial" w:cs="Arial"/>
          <w:bCs/>
          <w:color w:val="000000"/>
          <w:sz w:val="22"/>
          <w:szCs w:val="22"/>
        </w:rPr>
      </w:pPr>
    </w:p>
    <w:p w:rsidR="005273BE" w:rsidRDefault="005273BE" w:rsidP="005273BE">
      <w:pPr>
        <w:jc w:val="both"/>
        <w:rPr>
          <w:rFonts w:ascii="Arial" w:hAnsi="Arial" w:cs="Arial"/>
          <w:sz w:val="22"/>
          <w:szCs w:val="22"/>
          <w:u w:val="single"/>
        </w:rPr>
      </w:pPr>
      <w:r>
        <w:rPr>
          <w:rFonts w:ascii="Arial" w:hAnsi="Arial" w:cs="Arial"/>
          <w:sz w:val="22"/>
          <w:szCs w:val="22"/>
          <w:u w:val="single"/>
        </w:rPr>
        <w:t>Zodpovedná:</w:t>
      </w:r>
    </w:p>
    <w:p w:rsidR="005273BE" w:rsidRDefault="005273BE" w:rsidP="005273BE">
      <w:pPr>
        <w:jc w:val="both"/>
        <w:rPr>
          <w:rFonts w:ascii="Arial" w:hAnsi="Arial" w:cs="Arial"/>
          <w:sz w:val="22"/>
          <w:szCs w:val="22"/>
        </w:rPr>
      </w:pPr>
      <w:r>
        <w:rPr>
          <w:rFonts w:ascii="Arial" w:hAnsi="Arial" w:cs="Arial"/>
          <w:sz w:val="22"/>
          <w:szCs w:val="22"/>
        </w:rPr>
        <w:t>Mgr. Barbora Lukáčová</w:t>
      </w:r>
    </w:p>
    <w:p w:rsidR="005273BE" w:rsidRDefault="005273BE" w:rsidP="005273BE">
      <w:pPr>
        <w:jc w:val="both"/>
        <w:rPr>
          <w:rFonts w:ascii="Arial" w:hAnsi="Arial" w:cs="Arial"/>
          <w:sz w:val="22"/>
          <w:szCs w:val="22"/>
        </w:rPr>
      </w:pPr>
      <w:r>
        <w:rPr>
          <w:rFonts w:ascii="Arial" w:hAnsi="Arial" w:cs="Arial"/>
          <w:sz w:val="22"/>
          <w:szCs w:val="22"/>
        </w:rPr>
        <w:t>Riaditeľka Odboru stratégie, územného rozvoja a riadenia projektov</w:t>
      </w:r>
    </w:p>
    <w:p w:rsidR="005273BE" w:rsidRDefault="005273BE" w:rsidP="005273BE">
      <w:pPr>
        <w:jc w:val="both"/>
        <w:rPr>
          <w:rFonts w:ascii="Arial" w:hAnsi="Arial" w:cs="Arial"/>
          <w:sz w:val="22"/>
          <w:szCs w:val="22"/>
        </w:rPr>
      </w:pPr>
      <w:r>
        <w:rPr>
          <w:rFonts w:ascii="Arial" w:hAnsi="Arial" w:cs="Arial"/>
          <w:sz w:val="22"/>
          <w:szCs w:val="22"/>
        </w:rPr>
        <w:t>Bratislavského samosprávneho kraja</w:t>
      </w:r>
    </w:p>
    <w:p w:rsidR="005273BE" w:rsidRDefault="005273BE" w:rsidP="005273BE">
      <w:pPr>
        <w:rPr>
          <w:rFonts w:ascii="Arial" w:hAnsi="Arial" w:cs="Arial"/>
          <w:color w:val="FF0000"/>
          <w:sz w:val="20"/>
          <w:szCs w:val="20"/>
        </w:rPr>
      </w:pPr>
    </w:p>
    <w:p w:rsidR="005273BE" w:rsidRDefault="005273BE" w:rsidP="005273BE">
      <w:pPr>
        <w:jc w:val="both"/>
        <w:rPr>
          <w:rFonts w:ascii="Arial" w:hAnsi="Arial" w:cs="Arial"/>
          <w:sz w:val="22"/>
          <w:szCs w:val="22"/>
          <w:u w:val="single"/>
        </w:rPr>
      </w:pPr>
      <w:r>
        <w:rPr>
          <w:rFonts w:ascii="Arial" w:hAnsi="Arial" w:cs="Arial"/>
          <w:sz w:val="22"/>
          <w:szCs w:val="22"/>
          <w:u w:val="single"/>
        </w:rPr>
        <w:t>Spracovatelia:</w:t>
      </w:r>
    </w:p>
    <w:p w:rsidR="005273BE" w:rsidRDefault="005273BE" w:rsidP="005273BE">
      <w:pPr>
        <w:tabs>
          <w:tab w:val="left" w:pos="4253"/>
        </w:tabs>
        <w:rPr>
          <w:rFonts w:ascii="Arial" w:hAnsi="Arial" w:cs="Arial"/>
          <w:sz w:val="22"/>
          <w:szCs w:val="22"/>
        </w:rPr>
      </w:pPr>
      <w:r>
        <w:rPr>
          <w:rFonts w:ascii="Arial" w:hAnsi="Arial" w:cs="Arial"/>
          <w:sz w:val="22"/>
          <w:szCs w:val="22"/>
        </w:rPr>
        <w:t>Oddelenie stratégie a územného rozvoja:</w:t>
      </w:r>
      <w:r>
        <w:rPr>
          <w:rFonts w:ascii="Arial" w:hAnsi="Arial" w:cs="Arial"/>
          <w:sz w:val="22"/>
          <w:szCs w:val="22"/>
        </w:rPr>
        <w:tab/>
      </w:r>
      <w:r>
        <w:rPr>
          <w:rFonts w:ascii="Arial" w:hAnsi="Arial" w:cs="Arial"/>
          <w:sz w:val="22"/>
          <w:szCs w:val="22"/>
        </w:rPr>
        <w:tab/>
      </w:r>
      <w:r>
        <w:rPr>
          <w:rFonts w:ascii="Arial" w:hAnsi="Arial" w:cs="Arial"/>
          <w:sz w:val="22"/>
          <w:szCs w:val="22"/>
        </w:rPr>
        <w:tab/>
      </w:r>
    </w:p>
    <w:p w:rsidR="005273BE" w:rsidRDefault="005273BE" w:rsidP="005273BE">
      <w:pPr>
        <w:tabs>
          <w:tab w:val="left" w:pos="4253"/>
        </w:tabs>
        <w:rPr>
          <w:rFonts w:ascii="Arial" w:hAnsi="Arial" w:cs="Arial"/>
          <w:sz w:val="22"/>
          <w:szCs w:val="22"/>
        </w:rPr>
      </w:pPr>
      <w:r>
        <w:rPr>
          <w:rFonts w:ascii="Arial" w:hAnsi="Arial" w:cs="Arial"/>
          <w:sz w:val="22"/>
          <w:szCs w:val="22"/>
        </w:rPr>
        <w:t>Martin Hakel, BA</w:t>
      </w:r>
    </w:p>
    <w:p w:rsidR="005273BE" w:rsidRDefault="005273BE" w:rsidP="005273BE">
      <w:pPr>
        <w:tabs>
          <w:tab w:val="left" w:pos="4253"/>
        </w:tabs>
        <w:rPr>
          <w:rFonts w:ascii="Arial" w:hAnsi="Arial" w:cs="Arial"/>
          <w:sz w:val="22"/>
          <w:szCs w:val="22"/>
        </w:rPr>
      </w:pPr>
      <w:r>
        <w:rPr>
          <w:rFonts w:ascii="Arial" w:hAnsi="Arial" w:cs="Arial"/>
          <w:sz w:val="22"/>
          <w:szCs w:val="22"/>
        </w:rPr>
        <w:t>Vedúci oddelenia stratégie a územného rozvoja</w:t>
      </w:r>
    </w:p>
    <w:p w:rsidR="005273BE" w:rsidRDefault="005273BE" w:rsidP="005273BE">
      <w:pPr>
        <w:tabs>
          <w:tab w:val="left" w:pos="4253"/>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5273BE" w:rsidRDefault="005273BE" w:rsidP="005273BE">
      <w:pPr>
        <w:tabs>
          <w:tab w:val="left" w:pos="4253"/>
        </w:tabs>
        <w:rPr>
          <w:rFonts w:ascii="Arial" w:hAnsi="Arial" w:cs="Arial"/>
          <w:sz w:val="22"/>
          <w:szCs w:val="22"/>
        </w:rPr>
      </w:pPr>
      <w:r>
        <w:rPr>
          <w:rFonts w:ascii="Arial" w:hAnsi="Arial" w:cs="Arial"/>
          <w:sz w:val="22"/>
          <w:szCs w:val="22"/>
        </w:rPr>
        <w:t>Mgr. Dominika Forgáčová, PhD.</w:t>
      </w:r>
    </w:p>
    <w:p w:rsidR="005273BE" w:rsidRDefault="005273BE" w:rsidP="005273BE">
      <w:pPr>
        <w:tabs>
          <w:tab w:val="left" w:pos="4253"/>
        </w:tabs>
        <w:rPr>
          <w:rFonts w:ascii="Arial" w:hAnsi="Arial" w:cs="Arial"/>
          <w:sz w:val="22"/>
          <w:szCs w:val="22"/>
        </w:rPr>
      </w:pPr>
      <w:r>
        <w:rPr>
          <w:rFonts w:ascii="Arial" w:hAnsi="Arial" w:cs="Arial"/>
          <w:sz w:val="22"/>
          <w:szCs w:val="22"/>
        </w:rPr>
        <w:t>Referentka oddelenia stratégie a územného rozvoja</w:t>
      </w:r>
      <w:r>
        <w:rPr>
          <w:rFonts w:ascii="Arial" w:hAnsi="Arial" w:cs="Arial"/>
          <w:sz w:val="22"/>
          <w:szCs w:val="22"/>
        </w:rPr>
        <w:tab/>
      </w:r>
      <w:r>
        <w:rPr>
          <w:rFonts w:ascii="Arial" w:hAnsi="Arial" w:cs="Arial"/>
          <w:sz w:val="22"/>
          <w:szCs w:val="22"/>
        </w:rPr>
        <w:tab/>
      </w:r>
      <w:r>
        <w:rPr>
          <w:rFonts w:ascii="Arial" w:hAnsi="Arial" w:cs="Arial"/>
          <w:sz w:val="22"/>
          <w:szCs w:val="22"/>
        </w:rPr>
        <w:tab/>
      </w:r>
    </w:p>
    <w:p w:rsidR="005273BE" w:rsidRDefault="005273BE" w:rsidP="005273BE">
      <w:pPr>
        <w:tabs>
          <w:tab w:val="left" w:pos="4253"/>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C138DA" w:rsidRDefault="00C138DA" w:rsidP="00C138DA">
      <w:pPr>
        <w:tabs>
          <w:tab w:val="left" w:pos="4253"/>
        </w:tabs>
        <w:rPr>
          <w:rFonts w:ascii="Arial" w:hAnsi="Arial" w:cs="Arial"/>
          <w:sz w:val="22"/>
          <w:szCs w:val="22"/>
        </w:rPr>
      </w:pPr>
      <w:r>
        <w:rPr>
          <w:rFonts w:ascii="Arial" w:hAnsi="Arial" w:cs="Arial"/>
          <w:sz w:val="22"/>
          <w:szCs w:val="22"/>
        </w:rPr>
        <w:t>PhDr. Marek Dvorský</w:t>
      </w:r>
    </w:p>
    <w:p w:rsidR="00C138DA" w:rsidRDefault="00C138DA" w:rsidP="00C138DA">
      <w:pPr>
        <w:tabs>
          <w:tab w:val="left" w:pos="4253"/>
        </w:tabs>
        <w:rPr>
          <w:rFonts w:ascii="Arial" w:hAnsi="Arial" w:cs="Arial"/>
          <w:sz w:val="22"/>
          <w:szCs w:val="22"/>
        </w:rPr>
      </w:pPr>
      <w:r>
        <w:rPr>
          <w:rFonts w:ascii="Arial" w:hAnsi="Arial" w:cs="Arial"/>
          <w:sz w:val="22"/>
          <w:szCs w:val="22"/>
        </w:rPr>
        <w:t>Referent oddelenia stratégie a územného rozvoja</w:t>
      </w:r>
      <w:r>
        <w:rPr>
          <w:rFonts w:ascii="Arial" w:hAnsi="Arial" w:cs="Arial"/>
          <w:sz w:val="22"/>
          <w:szCs w:val="22"/>
        </w:rPr>
        <w:tab/>
      </w:r>
      <w:r>
        <w:rPr>
          <w:rFonts w:ascii="Arial" w:hAnsi="Arial" w:cs="Arial"/>
          <w:sz w:val="22"/>
          <w:szCs w:val="22"/>
        </w:rPr>
        <w:tab/>
      </w:r>
      <w:r>
        <w:rPr>
          <w:rFonts w:ascii="Arial" w:hAnsi="Arial" w:cs="Arial"/>
          <w:sz w:val="22"/>
          <w:szCs w:val="22"/>
        </w:rPr>
        <w:tab/>
      </w:r>
    </w:p>
    <w:p w:rsidR="0038696A" w:rsidRDefault="0038696A" w:rsidP="005273BE">
      <w:pPr>
        <w:tabs>
          <w:tab w:val="left" w:pos="4253"/>
        </w:tabs>
        <w:rPr>
          <w:rFonts w:ascii="Arial" w:hAnsi="Arial" w:cs="Arial"/>
          <w:sz w:val="22"/>
          <w:szCs w:val="22"/>
        </w:rPr>
      </w:pPr>
    </w:p>
    <w:p w:rsidR="0038696A" w:rsidRDefault="0038696A" w:rsidP="005273BE">
      <w:pPr>
        <w:tabs>
          <w:tab w:val="left" w:pos="4253"/>
        </w:tabs>
        <w:rPr>
          <w:rFonts w:ascii="Arial" w:hAnsi="Arial" w:cs="Arial"/>
          <w:sz w:val="22"/>
          <w:szCs w:val="22"/>
        </w:rPr>
      </w:pPr>
      <w:r>
        <w:rPr>
          <w:rFonts w:ascii="Arial" w:hAnsi="Arial" w:cs="Arial"/>
          <w:sz w:val="22"/>
          <w:szCs w:val="22"/>
        </w:rPr>
        <w:t>Odbor Interact</w:t>
      </w:r>
      <w:r w:rsidR="0064158F">
        <w:rPr>
          <w:rFonts w:ascii="Arial" w:hAnsi="Arial" w:cs="Arial"/>
          <w:sz w:val="22"/>
          <w:szCs w:val="22"/>
        </w:rPr>
        <w:t>:</w:t>
      </w:r>
    </w:p>
    <w:p w:rsidR="0038696A" w:rsidRDefault="0038696A" w:rsidP="005273BE">
      <w:pPr>
        <w:tabs>
          <w:tab w:val="left" w:pos="4253"/>
        </w:tabs>
        <w:rPr>
          <w:rFonts w:ascii="Arial" w:hAnsi="Arial" w:cs="Arial"/>
          <w:sz w:val="22"/>
          <w:szCs w:val="22"/>
        </w:rPr>
      </w:pPr>
      <w:r>
        <w:rPr>
          <w:rFonts w:ascii="Arial" w:hAnsi="Arial" w:cs="Arial"/>
          <w:sz w:val="22"/>
          <w:szCs w:val="22"/>
        </w:rPr>
        <w:t>Mgr. Petra Masácová</w:t>
      </w:r>
    </w:p>
    <w:p w:rsidR="005273BE" w:rsidRDefault="0038696A" w:rsidP="005273BE">
      <w:pPr>
        <w:tabs>
          <w:tab w:val="left" w:pos="4253"/>
        </w:tabs>
        <w:rPr>
          <w:rFonts w:ascii="Arial" w:hAnsi="Arial" w:cs="Arial"/>
          <w:sz w:val="22"/>
          <w:szCs w:val="22"/>
        </w:rPr>
      </w:pPr>
      <w:r>
        <w:rPr>
          <w:rFonts w:ascii="Arial" w:hAnsi="Arial" w:cs="Arial"/>
          <w:sz w:val="22"/>
          <w:szCs w:val="22"/>
        </w:rPr>
        <w:t>Riaditeľka odboru Interact</w:t>
      </w:r>
      <w:r w:rsidR="005273BE">
        <w:rPr>
          <w:rFonts w:ascii="Arial" w:hAnsi="Arial" w:cs="Arial"/>
          <w:sz w:val="22"/>
          <w:szCs w:val="22"/>
        </w:rPr>
        <w:tab/>
      </w:r>
      <w:r w:rsidR="005273BE">
        <w:rPr>
          <w:rFonts w:ascii="Arial" w:hAnsi="Arial" w:cs="Arial"/>
          <w:sz w:val="22"/>
          <w:szCs w:val="22"/>
        </w:rPr>
        <w:tab/>
      </w:r>
      <w:r w:rsidR="005273BE">
        <w:rPr>
          <w:rFonts w:ascii="Arial" w:hAnsi="Arial" w:cs="Arial"/>
          <w:sz w:val="22"/>
          <w:szCs w:val="22"/>
        </w:rPr>
        <w:tab/>
      </w:r>
    </w:p>
    <w:p w:rsidR="005273BE" w:rsidRDefault="005273BE" w:rsidP="005273BE">
      <w:pPr>
        <w:tabs>
          <w:tab w:val="left" w:pos="4253"/>
        </w:tabs>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5273BE" w:rsidRDefault="005273BE" w:rsidP="005273BE">
      <w:pPr>
        <w:rPr>
          <w:rFonts w:ascii="Arial" w:hAnsi="Arial" w:cs="Arial"/>
          <w:b/>
          <w:bCs/>
          <w:color w:val="000000"/>
          <w:sz w:val="22"/>
          <w:szCs w:val="22"/>
        </w:rPr>
      </w:pPr>
    </w:p>
    <w:p w:rsidR="005273BE" w:rsidRDefault="005273BE" w:rsidP="005273BE">
      <w:pPr>
        <w:rPr>
          <w:rFonts w:ascii="Arial" w:hAnsi="Arial" w:cs="Arial"/>
          <w:b/>
          <w:bCs/>
          <w:color w:val="000000"/>
          <w:sz w:val="22"/>
          <w:szCs w:val="22"/>
        </w:rPr>
      </w:pPr>
    </w:p>
    <w:p w:rsidR="005273BE" w:rsidRDefault="005273BE" w:rsidP="005273BE">
      <w:pPr>
        <w:jc w:val="center"/>
        <w:rPr>
          <w:rFonts w:ascii="Arial" w:hAnsi="Arial" w:cs="Arial"/>
          <w:bCs/>
          <w:color w:val="000000"/>
          <w:sz w:val="22"/>
          <w:szCs w:val="22"/>
        </w:rPr>
      </w:pPr>
      <w:r>
        <w:rPr>
          <w:rFonts w:ascii="Arial" w:hAnsi="Arial" w:cs="Arial"/>
          <w:bCs/>
          <w:color w:val="000000"/>
          <w:sz w:val="22"/>
          <w:szCs w:val="22"/>
        </w:rPr>
        <w:t>Bratislava</w:t>
      </w:r>
    </w:p>
    <w:p w:rsidR="005273BE" w:rsidRDefault="00C138DA" w:rsidP="005273BE">
      <w:pPr>
        <w:jc w:val="center"/>
        <w:rPr>
          <w:rFonts w:ascii="Arial" w:hAnsi="Arial" w:cs="Arial"/>
          <w:bCs/>
          <w:color w:val="000000"/>
          <w:sz w:val="22"/>
          <w:szCs w:val="22"/>
        </w:rPr>
      </w:pPr>
      <w:r>
        <w:rPr>
          <w:rFonts w:ascii="Arial" w:hAnsi="Arial" w:cs="Arial"/>
          <w:bCs/>
          <w:color w:val="000000"/>
          <w:sz w:val="22"/>
          <w:szCs w:val="22"/>
        </w:rPr>
        <w:t>Apríl</w:t>
      </w:r>
      <w:r w:rsidR="005273BE">
        <w:rPr>
          <w:rFonts w:ascii="Arial" w:hAnsi="Arial" w:cs="Arial"/>
          <w:bCs/>
          <w:color w:val="000000"/>
          <w:sz w:val="22"/>
          <w:szCs w:val="22"/>
        </w:rPr>
        <w:t xml:space="preserve"> 2013</w:t>
      </w:r>
    </w:p>
    <w:p w:rsidR="005273BE" w:rsidRPr="00A405DD" w:rsidRDefault="005273BE" w:rsidP="005273BE">
      <w:pPr>
        <w:jc w:val="center"/>
        <w:rPr>
          <w:rFonts w:ascii="Arial" w:hAnsi="Arial" w:cs="Arial"/>
          <w:spacing w:val="70"/>
        </w:rPr>
      </w:pPr>
      <w:r w:rsidRPr="00A405DD">
        <w:rPr>
          <w:rFonts w:ascii="Arial" w:hAnsi="Arial" w:cs="Arial"/>
          <w:spacing w:val="70"/>
        </w:rPr>
        <w:lastRenderedPageBreak/>
        <w:tab/>
      </w:r>
      <w:r w:rsidRPr="00A405DD">
        <w:rPr>
          <w:rFonts w:ascii="Arial" w:hAnsi="Arial" w:cs="Arial"/>
          <w:spacing w:val="70"/>
        </w:rPr>
        <w:tab/>
      </w:r>
    </w:p>
    <w:p w:rsidR="005273BE" w:rsidRDefault="005273BE" w:rsidP="005273BE">
      <w:pPr>
        <w:jc w:val="center"/>
        <w:rPr>
          <w:rFonts w:ascii="Arial" w:hAnsi="Arial" w:cs="Arial"/>
          <w:spacing w:val="70"/>
        </w:rPr>
      </w:pPr>
      <w:r>
        <w:rPr>
          <w:rFonts w:ascii="Arial" w:hAnsi="Arial" w:cs="Arial"/>
          <w:spacing w:val="70"/>
        </w:rPr>
        <w:t>Návrh uznesenia</w:t>
      </w:r>
    </w:p>
    <w:p w:rsidR="005273BE" w:rsidRDefault="005273BE" w:rsidP="005273BE">
      <w:pPr>
        <w:jc w:val="center"/>
        <w:rPr>
          <w:rFonts w:ascii="Arial" w:hAnsi="Arial" w:cs="Arial"/>
        </w:rPr>
      </w:pPr>
    </w:p>
    <w:p w:rsidR="005273BE" w:rsidRDefault="005273BE" w:rsidP="005273BE">
      <w:pPr>
        <w:jc w:val="center"/>
        <w:rPr>
          <w:rFonts w:ascii="Arial" w:hAnsi="Arial" w:cs="Arial"/>
        </w:rPr>
      </w:pPr>
    </w:p>
    <w:p w:rsidR="005273BE" w:rsidRDefault="005273BE" w:rsidP="005273BE">
      <w:pPr>
        <w:jc w:val="center"/>
        <w:rPr>
          <w:rFonts w:ascii="Arial" w:hAnsi="Arial" w:cs="Arial"/>
          <w:b/>
        </w:rPr>
      </w:pPr>
      <w:r>
        <w:rPr>
          <w:rFonts w:ascii="Arial" w:hAnsi="Arial" w:cs="Arial"/>
          <w:b/>
        </w:rPr>
        <w:t>UZNESENIE č. ........... / 2013</w:t>
      </w:r>
    </w:p>
    <w:p w:rsidR="005273BE" w:rsidRDefault="00C138DA" w:rsidP="005273BE">
      <w:pPr>
        <w:jc w:val="center"/>
        <w:rPr>
          <w:rFonts w:ascii="Arial" w:hAnsi="Arial" w:cs="Arial"/>
          <w:sz w:val="22"/>
          <w:szCs w:val="22"/>
        </w:rPr>
      </w:pPr>
      <w:r>
        <w:rPr>
          <w:rFonts w:ascii="Arial" w:hAnsi="Arial" w:cs="Arial"/>
          <w:sz w:val="22"/>
          <w:szCs w:val="22"/>
        </w:rPr>
        <w:t>zo dňa 19</w:t>
      </w:r>
      <w:r w:rsidR="005273BE">
        <w:rPr>
          <w:rFonts w:ascii="Arial" w:hAnsi="Arial" w:cs="Arial"/>
          <w:sz w:val="22"/>
          <w:szCs w:val="22"/>
        </w:rPr>
        <w:t>.0</w:t>
      </w:r>
      <w:r>
        <w:rPr>
          <w:rFonts w:ascii="Arial" w:hAnsi="Arial" w:cs="Arial"/>
          <w:sz w:val="22"/>
          <w:szCs w:val="22"/>
        </w:rPr>
        <w:t>4</w:t>
      </w:r>
      <w:r w:rsidR="005273BE">
        <w:rPr>
          <w:rFonts w:ascii="Arial" w:hAnsi="Arial" w:cs="Arial"/>
          <w:sz w:val="22"/>
          <w:szCs w:val="22"/>
        </w:rPr>
        <w:t>.2013</w:t>
      </w:r>
    </w:p>
    <w:p w:rsidR="005273BE" w:rsidRDefault="005273BE" w:rsidP="005273BE">
      <w:pPr>
        <w:jc w:val="center"/>
        <w:rPr>
          <w:rFonts w:ascii="Arial" w:hAnsi="Arial" w:cs="Arial"/>
        </w:rPr>
      </w:pPr>
    </w:p>
    <w:p w:rsidR="005273BE" w:rsidRDefault="005273BE" w:rsidP="005273BE">
      <w:pPr>
        <w:jc w:val="center"/>
        <w:rPr>
          <w:rFonts w:ascii="Arial" w:hAnsi="Arial" w:cs="Arial"/>
        </w:rPr>
      </w:pPr>
    </w:p>
    <w:p w:rsidR="005273BE" w:rsidRDefault="005273BE" w:rsidP="005273BE">
      <w:pPr>
        <w:jc w:val="center"/>
        <w:rPr>
          <w:rFonts w:ascii="Arial" w:hAnsi="Arial" w:cs="Arial"/>
        </w:rPr>
      </w:pPr>
    </w:p>
    <w:p w:rsidR="005273BE" w:rsidRDefault="005273BE" w:rsidP="005273BE">
      <w:pPr>
        <w:jc w:val="center"/>
        <w:rPr>
          <w:rFonts w:ascii="Arial" w:hAnsi="Arial" w:cs="Arial"/>
        </w:rPr>
      </w:pPr>
    </w:p>
    <w:p w:rsidR="005273BE" w:rsidRDefault="005273BE" w:rsidP="005273BE">
      <w:pPr>
        <w:jc w:val="center"/>
        <w:rPr>
          <w:rFonts w:ascii="Arial" w:hAnsi="Arial" w:cs="Arial"/>
        </w:rPr>
      </w:pPr>
    </w:p>
    <w:p w:rsidR="005273BE" w:rsidRDefault="005273BE" w:rsidP="005273BE">
      <w:pPr>
        <w:jc w:val="both"/>
        <w:rPr>
          <w:rFonts w:ascii="Arial" w:hAnsi="Arial" w:cs="Arial"/>
          <w:sz w:val="22"/>
          <w:szCs w:val="22"/>
        </w:rPr>
      </w:pPr>
      <w:r>
        <w:rPr>
          <w:rFonts w:ascii="Arial" w:hAnsi="Arial" w:cs="Arial"/>
          <w:sz w:val="22"/>
          <w:szCs w:val="22"/>
        </w:rPr>
        <w:t>Zastupiteľstvo Bratislavského samosprávneho kraja po prerokovaní materiálu</w:t>
      </w:r>
    </w:p>
    <w:p w:rsidR="005273BE" w:rsidRDefault="005273BE" w:rsidP="005273BE">
      <w:pPr>
        <w:jc w:val="both"/>
        <w:rPr>
          <w:rFonts w:ascii="Arial" w:hAnsi="Arial" w:cs="Arial"/>
          <w:sz w:val="22"/>
          <w:szCs w:val="22"/>
        </w:rPr>
      </w:pPr>
    </w:p>
    <w:p w:rsidR="00C138DA" w:rsidRPr="005C1A66" w:rsidRDefault="00C138DA" w:rsidP="00C138DA">
      <w:pPr>
        <w:jc w:val="center"/>
        <w:rPr>
          <w:rFonts w:ascii="Arial" w:hAnsi="Arial" w:cs="Arial"/>
          <w:b/>
          <w:spacing w:val="70"/>
          <w:sz w:val="22"/>
          <w:szCs w:val="22"/>
        </w:rPr>
      </w:pPr>
      <w:r w:rsidRPr="005C1A66">
        <w:rPr>
          <w:rFonts w:ascii="Arial" w:hAnsi="Arial" w:cs="Arial"/>
          <w:b/>
          <w:spacing w:val="70"/>
          <w:sz w:val="22"/>
          <w:szCs w:val="22"/>
        </w:rPr>
        <w:t xml:space="preserve">A. berie na vedomie </w:t>
      </w:r>
    </w:p>
    <w:p w:rsidR="00C138DA" w:rsidRPr="005C1A66" w:rsidRDefault="00C138DA" w:rsidP="00C138DA">
      <w:pPr>
        <w:jc w:val="center"/>
        <w:rPr>
          <w:rFonts w:ascii="Arial" w:hAnsi="Arial" w:cs="Arial"/>
          <w:sz w:val="22"/>
          <w:szCs w:val="22"/>
        </w:rPr>
      </w:pPr>
    </w:p>
    <w:p w:rsidR="00C138DA" w:rsidRPr="005C1A66" w:rsidRDefault="00C138DA" w:rsidP="00C138DA">
      <w:pPr>
        <w:jc w:val="center"/>
        <w:rPr>
          <w:rFonts w:ascii="Arial" w:hAnsi="Arial" w:cs="Arial"/>
          <w:sz w:val="22"/>
          <w:szCs w:val="22"/>
        </w:rPr>
      </w:pPr>
    </w:p>
    <w:p w:rsidR="00C138DA" w:rsidRPr="005C1A66" w:rsidRDefault="00C138DA" w:rsidP="00C138DA">
      <w:pPr>
        <w:jc w:val="both"/>
        <w:rPr>
          <w:rFonts w:ascii="Arial" w:hAnsi="Arial" w:cs="Arial"/>
          <w:sz w:val="22"/>
          <w:szCs w:val="22"/>
        </w:rPr>
      </w:pPr>
      <w:r w:rsidRPr="005C1A66">
        <w:rPr>
          <w:rFonts w:ascii="Arial" w:hAnsi="Arial" w:cs="Arial"/>
          <w:sz w:val="22"/>
          <w:szCs w:val="22"/>
        </w:rPr>
        <w:t>Informáciu o stave prípravy programového obdobia 2014-2020.</w:t>
      </w:r>
    </w:p>
    <w:p w:rsidR="00C138DA" w:rsidRPr="005C1A66" w:rsidRDefault="00C138DA" w:rsidP="00C138DA">
      <w:pPr>
        <w:jc w:val="both"/>
        <w:rPr>
          <w:rFonts w:ascii="Arial" w:hAnsi="Arial" w:cs="Arial"/>
          <w:b/>
          <w:spacing w:val="70"/>
          <w:sz w:val="22"/>
          <w:szCs w:val="22"/>
        </w:rPr>
      </w:pPr>
      <w:r w:rsidRPr="005C1A66">
        <w:rPr>
          <w:rFonts w:ascii="Arial" w:hAnsi="Arial" w:cs="Arial"/>
          <w:b/>
          <w:spacing w:val="70"/>
          <w:sz w:val="22"/>
          <w:szCs w:val="22"/>
        </w:rPr>
        <w:tab/>
      </w:r>
    </w:p>
    <w:p w:rsidR="00C138DA" w:rsidRPr="005C1A66" w:rsidRDefault="00C138DA" w:rsidP="00C138DA">
      <w:pPr>
        <w:rPr>
          <w:rFonts w:ascii="Arial" w:hAnsi="Arial" w:cs="Arial"/>
          <w:sz w:val="22"/>
          <w:szCs w:val="22"/>
        </w:rPr>
      </w:pPr>
    </w:p>
    <w:p w:rsidR="00C138DA" w:rsidRPr="0064158F" w:rsidRDefault="00C138DA" w:rsidP="00C138DA">
      <w:pPr>
        <w:jc w:val="center"/>
        <w:rPr>
          <w:rFonts w:ascii="Arial" w:hAnsi="Arial" w:cs="Arial"/>
          <w:b/>
          <w:spacing w:val="70"/>
          <w:sz w:val="22"/>
          <w:szCs w:val="22"/>
        </w:rPr>
      </w:pPr>
      <w:r w:rsidRPr="0064158F">
        <w:rPr>
          <w:rFonts w:ascii="Arial" w:hAnsi="Arial" w:cs="Arial"/>
          <w:b/>
          <w:spacing w:val="70"/>
          <w:sz w:val="22"/>
          <w:szCs w:val="22"/>
        </w:rPr>
        <w:t>B. splnomocňuje</w:t>
      </w:r>
    </w:p>
    <w:p w:rsidR="00C138DA" w:rsidRPr="0064158F" w:rsidRDefault="00C138DA" w:rsidP="00C138DA">
      <w:pPr>
        <w:rPr>
          <w:rFonts w:ascii="Arial" w:hAnsi="Arial" w:cs="Arial"/>
          <w:b/>
          <w:spacing w:val="70"/>
          <w:sz w:val="22"/>
          <w:szCs w:val="22"/>
        </w:rPr>
      </w:pPr>
      <w:r w:rsidRPr="0064158F">
        <w:rPr>
          <w:rFonts w:ascii="Arial" w:hAnsi="Arial" w:cs="Arial"/>
          <w:b/>
          <w:spacing w:val="70"/>
          <w:sz w:val="22"/>
          <w:szCs w:val="22"/>
        </w:rPr>
        <w:t xml:space="preserve"> </w:t>
      </w:r>
    </w:p>
    <w:p w:rsidR="0038696A" w:rsidRPr="0064158F" w:rsidRDefault="0064158F" w:rsidP="0064158F">
      <w:pPr>
        <w:jc w:val="both"/>
        <w:rPr>
          <w:rFonts w:ascii="Arial" w:hAnsi="Arial" w:cs="Arial"/>
          <w:sz w:val="22"/>
          <w:szCs w:val="22"/>
        </w:rPr>
      </w:pPr>
      <w:r w:rsidRPr="0064158F">
        <w:rPr>
          <w:rFonts w:ascii="Arial" w:hAnsi="Arial" w:cs="Arial"/>
          <w:sz w:val="22"/>
          <w:szCs w:val="22"/>
        </w:rPr>
        <w:t>p</w:t>
      </w:r>
      <w:r w:rsidR="00C138DA" w:rsidRPr="0064158F">
        <w:rPr>
          <w:rFonts w:ascii="Arial" w:hAnsi="Arial" w:cs="Arial"/>
          <w:sz w:val="22"/>
          <w:szCs w:val="22"/>
        </w:rPr>
        <w:t xml:space="preserve">redsedu Bratislavského samosprávneho kraja, aby rokoval s vládou Slovenskej republiky o výške </w:t>
      </w:r>
      <w:r w:rsidR="0038696A" w:rsidRPr="0064158F">
        <w:rPr>
          <w:rFonts w:ascii="Arial" w:hAnsi="Arial" w:cs="Arial"/>
          <w:sz w:val="22"/>
          <w:szCs w:val="22"/>
        </w:rPr>
        <w:t xml:space="preserve">spolufinancovania zo štátneho rozpočtu pre žiadosti o nenávratné finančné príspevky </w:t>
      </w:r>
      <w:r w:rsidRPr="0064158F">
        <w:rPr>
          <w:rFonts w:ascii="Arial" w:hAnsi="Arial" w:cs="Arial"/>
          <w:sz w:val="22"/>
          <w:szCs w:val="22"/>
        </w:rPr>
        <w:t xml:space="preserve">v </w:t>
      </w:r>
      <w:r w:rsidR="0038696A" w:rsidRPr="0064158F">
        <w:rPr>
          <w:rFonts w:ascii="Arial" w:hAnsi="Arial" w:cs="Arial"/>
          <w:sz w:val="22"/>
          <w:szCs w:val="22"/>
        </w:rPr>
        <w:t>prípade, že prijímateľmi pomoci sú subjekty verejnej správy</w:t>
      </w:r>
      <w:r w:rsidR="007F1DFC">
        <w:rPr>
          <w:rFonts w:ascii="Arial" w:hAnsi="Arial" w:cs="Arial"/>
          <w:sz w:val="22"/>
          <w:szCs w:val="22"/>
        </w:rPr>
        <w:t xml:space="preserve"> na území Bratislavského samosprávneho kraja. </w:t>
      </w:r>
    </w:p>
    <w:p w:rsidR="00083111" w:rsidRPr="007F1DFC" w:rsidRDefault="00083111" w:rsidP="007F1DFC">
      <w:pPr>
        <w:jc w:val="center"/>
        <w:rPr>
          <w:rFonts w:ascii="Arial" w:hAnsi="Arial" w:cs="Arial"/>
          <w:sz w:val="22"/>
          <w:szCs w:val="22"/>
        </w:rPr>
      </w:pPr>
      <w:r w:rsidRPr="005C1A66">
        <w:rPr>
          <w:rFonts w:ascii="Arial" w:hAnsi="Arial" w:cs="Arial"/>
          <w:bCs/>
          <w:sz w:val="22"/>
          <w:szCs w:val="22"/>
        </w:rPr>
        <w:br w:type="page"/>
      </w:r>
      <w:r w:rsidRPr="005C1A66">
        <w:rPr>
          <w:rFonts w:ascii="Arial" w:hAnsi="Arial" w:cs="Arial"/>
          <w:b/>
          <w:sz w:val="22"/>
          <w:szCs w:val="22"/>
        </w:rPr>
        <w:lastRenderedPageBreak/>
        <w:t>D ô v o d o v á  s p r á v a</w:t>
      </w:r>
    </w:p>
    <w:p w:rsidR="00DF62C1" w:rsidRPr="005C1A66" w:rsidRDefault="00DF62C1" w:rsidP="00654EA0">
      <w:pPr>
        <w:rPr>
          <w:rFonts w:ascii="Arial" w:hAnsi="Arial" w:cs="Arial"/>
          <w:b/>
          <w:sz w:val="22"/>
          <w:szCs w:val="22"/>
        </w:rPr>
      </w:pPr>
    </w:p>
    <w:p w:rsidR="00DF62C1" w:rsidRPr="005C1A66" w:rsidRDefault="00DF62C1" w:rsidP="00654EA0">
      <w:pPr>
        <w:rPr>
          <w:rFonts w:ascii="Arial" w:hAnsi="Arial" w:cs="Arial"/>
          <w:b/>
          <w:sz w:val="22"/>
          <w:szCs w:val="22"/>
        </w:rPr>
      </w:pPr>
      <w:r w:rsidRPr="005C1A66">
        <w:rPr>
          <w:rFonts w:ascii="Arial" w:hAnsi="Arial" w:cs="Arial"/>
          <w:b/>
          <w:sz w:val="22"/>
          <w:szCs w:val="22"/>
        </w:rPr>
        <w:t>Medzinárodne súvislosti – Kancelária BSK v Bruseli</w:t>
      </w:r>
    </w:p>
    <w:p w:rsidR="00DF62C1" w:rsidRPr="005C1A66" w:rsidRDefault="00DF62C1" w:rsidP="00654EA0">
      <w:pPr>
        <w:contextualSpacing/>
        <w:jc w:val="both"/>
        <w:rPr>
          <w:rFonts w:ascii="Arial" w:hAnsi="Arial" w:cs="Arial"/>
          <w:sz w:val="22"/>
          <w:szCs w:val="22"/>
        </w:rPr>
      </w:pPr>
    </w:p>
    <w:p w:rsidR="00DF62C1" w:rsidRPr="005C1A66" w:rsidRDefault="00DF62C1" w:rsidP="00654EA0">
      <w:pPr>
        <w:contextualSpacing/>
        <w:jc w:val="both"/>
        <w:rPr>
          <w:rFonts w:ascii="Arial" w:hAnsi="Arial" w:cs="Arial"/>
          <w:sz w:val="22"/>
          <w:szCs w:val="22"/>
        </w:rPr>
      </w:pPr>
      <w:r w:rsidRPr="005C1A66">
        <w:rPr>
          <w:rFonts w:ascii="Arial" w:hAnsi="Arial" w:cs="Arial"/>
          <w:sz w:val="22"/>
          <w:szCs w:val="22"/>
        </w:rPr>
        <w:t>V súčasnosti sa na európskej pôde ako aj na národnej úrovni intenzívne diskutuje o ďalšom fungovaní kohéznej politiky EÚ po roku 2013.</w:t>
      </w:r>
    </w:p>
    <w:p w:rsidR="00DF62C1" w:rsidRPr="005C1A66" w:rsidRDefault="00DF62C1" w:rsidP="00654EA0">
      <w:pPr>
        <w:contextualSpacing/>
        <w:jc w:val="both"/>
        <w:rPr>
          <w:rFonts w:ascii="Arial" w:hAnsi="Arial" w:cs="Arial"/>
          <w:sz w:val="22"/>
          <w:szCs w:val="22"/>
        </w:rPr>
      </w:pPr>
    </w:p>
    <w:p w:rsidR="00DF62C1" w:rsidRPr="005C1A66" w:rsidRDefault="00DF62C1" w:rsidP="00654EA0">
      <w:pPr>
        <w:contextualSpacing/>
        <w:jc w:val="both"/>
        <w:rPr>
          <w:rFonts w:ascii="Arial" w:hAnsi="Arial" w:cs="Arial"/>
          <w:b/>
          <w:sz w:val="22"/>
          <w:szCs w:val="22"/>
        </w:rPr>
      </w:pPr>
      <w:r w:rsidRPr="005C1A66">
        <w:rPr>
          <w:rFonts w:ascii="Arial" w:hAnsi="Arial" w:cs="Arial"/>
          <w:sz w:val="22"/>
          <w:szCs w:val="22"/>
        </w:rPr>
        <w:t xml:space="preserve">Európska komisia zverejnila v októbri 2011 návrhy nariadení k programovému obdobiu 2014 -2020. </w:t>
      </w:r>
      <w:r w:rsidRPr="005C1A66">
        <w:rPr>
          <w:rFonts w:ascii="Arial" w:hAnsi="Arial" w:cs="Arial"/>
          <w:b/>
          <w:sz w:val="22"/>
          <w:szCs w:val="22"/>
        </w:rPr>
        <w:t xml:space="preserve">Bratislavský samosprávny kraj (BSK) aktívne reaguje na návrhy legislatívy EK s cieľom ovplyvniť fungovanie nástrojov kohéznej politiky EÚ tak, aby aj subjekty z bratislavského regiónu mohli byť oprávnenými na čerpanie finančných prostriedkov z fondov EÚ, a to aj na </w:t>
      </w:r>
      <w:r w:rsidRPr="005C1A66">
        <w:rPr>
          <w:rStyle w:val="Zvraznenie"/>
          <w:rFonts w:ascii="Arial" w:hAnsi="Arial" w:cs="Arial"/>
          <w:b/>
          <w:i w:val="0"/>
          <w:sz w:val="22"/>
          <w:szCs w:val="22"/>
        </w:rPr>
        <w:t>investičné aktivity do zák</w:t>
      </w:r>
      <w:r w:rsidR="008F2715">
        <w:rPr>
          <w:rStyle w:val="Zvraznenie"/>
          <w:rFonts w:ascii="Arial" w:hAnsi="Arial" w:cs="Arial"/>
          <w:b/>
          <w:i w:val="0"/>
          <w:sz w:val="22"/>
          <w:szCs w:val="22"/>
        </w:rPr>
        <w:t>ladnej infraštruktúry v oblasti</w:t>
      </w:r>
      <w:r w:rsidRPr="005C1A66">
        <w:rPr>
          <w:rStyle w:val="Zvraznenie"/>
          <w:rFonts w:ascii="Arial" w:hAnsi="Arial" w:cs="Arial"/>
          <w:b/>
          <w:i w:val="0"/>
          <w:sz w:val="22"/>
          <w:szCs w:val="22"/>
        </w:rPr>
        <w:t xml:space="preserve"> školstva, sociálnych vecí a zdravotníctva, energetiky, životného prostredia a dopravy. </w:t>
      </w:r>
    </w:p>
    <w:p w:rsidR="00DF62C1" w:rsidRPr="005C1A66" w:rsidRDefault="00DF62C1" w:rsidP="00654EA0">
      <w:pPr>
        <w:contextualSpacing/>
        <w:jc w:val="both"/>
        <w:rPr>
          <w:rFonts w:ascii="Arial" w:hAnsi="Arial" w:cs="Arial"/>
          <w:sz w:val="22"/>
          <w:szCs w:val="22"/>
        </w:rPr>
      </w:pPr>
    </w:p>
    <w:p w:rsidR="00DF62C1" w:rsidRPr="005C1A66" w:rsidRDefault="00DF62C1" w:rsidP="00654EA0">
      <w:pPr>
        <w:contextualSpacing/>
        <w:jc w:val="both"/>
        <w:rPr>
          <w:rFonts w:ascii="Arial" w:hAnsi="Arial" w:cs="Arial"/>
          <w:sz w:val="22"/>
          <w:szCs w:val="22"/>
        </w:rPr>
      </w:pPr>
      <w:r w:rsidRPr="005C1A66">
        <w:rPr>
          <w:rFonts w:ascii="Arial" w:hAnsi="Arial" w:cs="Arial"/>
          <w:sz w:val="22"/>
          <w:szCs w:val="22"/>
        </w:rPr>
        <w:t>BSK sa už v roku 2010, keď Európska komisia ešte len pripravovala návrh nariadení pre nové programové obdobie, aktívne zapájal do odborných aj politických diskusií na túto tému. Vyvrcholen</w:t>
      </w:r>
      <w:r w:rsidR="008F2715">
        <w:rPr>
          <w:rFonts w:ascii="Arial" w:hAnsi="Arial" w:cs="Arial"/>
          <w:sz w:val="22"/>
          <w:szCs w:val="22"/>
        </w:rPr>
        <w:t>ím týchto aktivít bola účasť na</w:t>
      </w:r>
      <w:r w:rsidRPr="005C1A66">
        <w:rPr>
          <w:rFonts w:ascii="Arial" w:hAnsi="Arial" w:cs="Arial"/>
          <w:sz w:val="22"/>
          <w:szCs w:val="22"/>
        </w:rPr>
        <w:t xml:space="preserve"> lobistickej akcii v októbri 2010 počas Open Days – týždňa regionálnej politiky, ktorá bola určená vyspelým regiónom v rámci EÚ spadajúcim do cieľa 2 politiky súdržnosti EÚ – regionálna konkurencieschopnosť a zamestnanosť. Cieľom tejto akcie bolo, aby viac rozvinuté regióny</w:t>
      </w:r>
      <w:r w:rsidR="008F2715">
        <w:rPr>
          <w:rFonts w:ascii="Arial" w:hAnsi="Arial" w:cs="Arial"/>
          <w:sz w:val="22"/>
          <w:szCs w:val="22"/>
        </w:rPr>
        <w:t>,</w:t>
      </w:r>
      <w:r w:rsidRPr="005C1A66">
        <w:rPr>
          <w:rFonts w:ascii="Arial" w:hAnsi="Arial" w:cs="Arial"/>
          <w:sz w:val="22"/>
          <w:szCs w:val="22"/>
        </w:rPr>
        <w:t xml:space="preserve"> do ktorých patrí aj BSK, boli oprávnené na čerpanie fondov aj po roku 2013 a to bez obmedzení podporovaných oblastí alebo podobného systému s vhodnými a dostatočnými finančnými prostriedkami a flexibilnosťou tematickej a finančnej oprávnenosti výdavkov. </w:t>
      </w:r>
    </w:p>
    <w:p w:rsidR="00DF62C1" w:rsidRPr="005C1A66" w:rsidRDefault="00DF62C1" w:rsidP="00654EA0">
      <w:pPr>
        <w:contextualSpacing/>
        <w:jc w:val="both"/>
        <w:rPr>
          <w:rFonts w:ascii="Arial" w:hAnsi="Arial" w:cs="Arial"/>
          <w:sz w:val="22"/>
          <w:szCs w:val="22"/>
        </w:rPr>
      </w:pPr>
    </w:p>
    <w:p w:rsidR="00DF62C1" w:rsidRPr="005C1A66" w:rsidRDefault="00DF62C1" w:rsidP="00654EA0">
      <w:pPr>
        <w:contextualSpacing/>
        <w:jc w:val="both"/>
        <w:rPr>
          <w:rFonts w:ascii="Arial" w:hAnsi="Arial" w:cs="Arial"/>
          <w:sz w:val="22"/>
          <w:szCs w:val="22"/>
        </w:rPr>
      </w:pPr>
      <w:r w:rsidRPr="005C1A66">
        <w:rPr>
          <w:rFonts w:ascii="Arial" w:hAnsi="Arial" w:cs="Arial"/>
          <w:sz w:val="22"/>
          <w:szCs w:val="22"/>
        </w:rPr>
        <w:t>Zástupcovia 143 participujúcich regiónov, vrátane BSK, podpísali spoločnú deklaráciu, v ktorej žiadali o predĺženie financovania pre cieľ 2 aj po roku 2013 a poukázali na potrebu politiky súdržnosti pre všetky regióny v novom programovom období.</w:t>
      </w:r>
    </w:p>
    <w:p w:rsidR="00DF62C1" w:rsidRPr="005C1A66" w:rsidRDefault="00DF62C1" w:rsidP="00654EA0">
      <w:pPr>
        <w:contextualSpacing/>
        <w:jc w:val="both"/>
        <w:rPr>
          <w:rFonts w:ascii="Arial" w:hAnsi="Arial" w:cs="Arial"/>
          <w:sz w:val="22"/>
          <w:szCs w:val="22"/>
        </w:rPr>
      </w:pPr>
    </w:p>
    <w:p w:rsidR="00DF62C1" w:rsidRPr="005C1A66" w:rsidRDefault="00DF62C1" w:rsidP="00654EA0">
      <w:pPr>
        <w:contextualSpacing/>
        <w:jc w:val="both"/>
        <w:rPr>
          <w:rFonts w:ascii="Arial" w:hAnsi="Arial" w:cs="Arial"/>
          <w:sz w:val="22"/>
          <w:szCs w:val="22"/>
        </w:rPr>
      </w:pPr>
      <w:r w:rsidRPr="005C1A66">
        <w:rPr>
          <w:rFonts w:ascii="Arial" w:hAnsi="Arial" w:cs="Arial"/>
          <w:sz w:val="22"/>
          <w:szCs w:val="22"/>
        </w:rPr>
        <w:t>Vyvrcholením podujatia bol summit regionálnych predsedov participujúcich regiónov dňa 7.10.2010 v Bruseli, kedy spoločnú deklaráciu odovzdali najvyšším predstaviteľom EÚ. Predseda BSK sa zúčastnil tohto summitu.</w:t>
      </w:r>
    </w:p>
    <w:p w:rsidR="00DF62C1" w:rsidRPr="005C1A66" w:rsidRDefault="00DF62C1" w:rsidP="00654EA0">
      <w:pPr>
        <w:contextualSpacing/>
        <w:jc w:val="both"/>
        <w:rPr>
          <w:rFonts w:ascii="Arial" w:hAnsi="Arial" w:cs="Arial"/>
          <w:sz w:val="22"/>
          <w:szCs w:val="22"/>
        </w:rPr>
      </w:pPr>
    </w:p>
    <w:p w:rsidR="00DF62C1" w:rsidRPr="005C1A66" w:rsidRDefault="00DF62C1" w:rsidP="00654EA0">
      <w:pPr>
        <w:contextualSpacing/>
        <w:jc w:val="both"/>
        <w:rPr>
          <w:rFonts w:ascii="Arial" w:hAnsi="Arial" w:cs="Arial"/>
          <w:sz w:val="22"/>
          <w:szCs w:val="22"/>
        </w:rPr>
      </w:pPr>
      <w:r w:rsidRPr="005C1A66">
        <w:rPr>
          <w:rFonts w:ascii="Arial" w:hAnsi="Arial" w:cs="Arial"/>
          <w:sz w:val="22"/>
          <w:szCs w:val="22"/>
        </w:rPr>
        <w:t>V súčasnosti na európs</w:t>
      </w:r>
      <w:r w:rsidR="008F2715">
        <w:rPr>
          <w:rFonts w:ascii="Arial" w:hAnsi="Arial" w:cs="Arial"/>
          <w:sz w:val="22"/>
          <w:szCs w:val="22"/>
        </w:rPr>
        <w:t>kej pôde pretrváva spolupráca v</w:t>
      </w:r>
      <w:r w:rsidRPr="005C1A66">
        <w:rPr>
          <w:rFonts w:ascii="Arial" w:hAnsi="Arial" w:cs="Arial"/>
          <w:sz w:val="22"/>
          <w:szCs w:val="22"/>
        </w:rPr>
        <w:t xml:space="preserve"> uvedenej oblasti. BSK aj v spolupráci so svojimi partnermi ako Dolné Rakúsko, </w:t>
      </w:r>
      <w:r w:rsidR="003F1CB7">
        <w:rPr>
          <w:rFonts w:ascii="Arial" w:hAnsi="Arial" w:cs="Arial"/>
          <w:sz w:val="22"/>
          <w:szCs w:val="22"/>
        </w:rPr>
        <w:t>hlavné mestá krajín V4</w:t>
      </w:r>
      <w:r w:rsidRPr="005C1A66">
        <w:rPr>
          <w:rFonts w:ascii="Arial" w:hAnsi="Arial" w:cs="Arial"/>
          <w:sz w:val="22"/>
          <w:szCs w:val="22"/>
        </w:rPr>
        <w:t xml:space="preserve"> či spo</w:t>
      </w:r>
      <w:r w:rsidR="001D1E99">
        <w:rPr>
          <w:rFonts w:ascii="Arial" w:hAnsi="Arial" w:cs="Arial"/>
          <w:sz w:val="22"/>
          <w:szCs w:val="22"/>
        </w:rPr>
        <w:t xml:space="preserve">lková krajina Baden-Wűrrtemberg </w:t>
      </w:r>
      <w:r w:rsidRPr="005C1A66">
        <w:rPr>
          <w:rFonts w:ascii="Arial" w:hAnsi="Arial" w:cs="Arial"/>
          <w:sz w:val="22"/>
          <w:szCs w:val="22"/>
        </w:rPr>
        <w:t xml:space="preserve">intenzívne spolupracuje a vyvíja spoločné aktivity v súvislosti s negociačným procesom a prijatím návrhov nariadení o štrukturálnych fondoch. </w:t>
      </w:r>
    </w:p>
    <w:p w:rsidR="00DF62C1" w:rsidRPr="005C1A66" w:rsidRDefault="00DF62C1" w:rsidP="00654EA0">
      <w:pPr>
        <w:contextualSpacing/>
        <w:jc w:val="both"/>
        <w:rPr>
          <w:rFonts w:ascii="Arial" w:hAnsi="Arial" w:cs="Arial"/>
          <w:sz w:val="22"/>
          <w:szCs w:val="22"/>
        </w:rPr>
      </w:pPr>
    </w:p>
    <w:p w:rsidR="00DF62C1" w:rsidRPr="005C1A66" w:rsidRDefault="00DF62C1" w:rsidP="00654EA0">
      <w:pPr>
        <w:contextualSpacing/>
        <w:jc w:val="both"/>
        <w:rPr>
          <w:rFonts w:ascii="Arial" w:hAnsi="Arial" w:cs="Arial"/>
          <w:sz w:val="22"/>
          <w:szCs w:val="22"/>
        </w:rPr>
      </w:pPr>
      <w:r w:rsidRPr="005C1A66">
        <w:rPr>
          <w:rFonts w:ascii="Arial" w:hAnsi="Arial" w:cs="Arial"/>
          <w:b/>
          <w:sz w:val="22"/>
          <w:szCs w:val="22"/>
        </w:rPr>
        <w:t xml:space="preserve">Na národnej úrovni je BSK </w:t>
      </w:r>
      <w:r w:rsidR="003F1CB7">
        <w:rPr>
          <w:rFonts w:ascii="Arial" w:hAnsi="Arial" w:cs="Arial"/>
          <w:b/>
          <w:sz w:val="22"/>
          <w:szCs w:val="22"/>
        </w:rPr>
        <w:t>zastúpený aj v pracovných skupinách</w:t>
      </w:r>
      <w:r w:rsidRPr="005C1A66">
        <w:rPr>
          <w:rFonts w:ascii="Arial" w:hAnsi="Arial" w:cs="Arial"/>
          <w:b/>
          <w:sz w:val="22"/>
          <w:szCs w:val="22"/>
        </w:rPr>
        <w:t xml:space="preserve"> Partnerstvo pre politiku súdržnosti</w:t>
      </w:r>
      <w:r w:rsidR="003F1CB7">
        <w:rPr>
          <w:rFonts w:ascii="Arial" w:hAnsi="Arial" w:cs="Arial"/>
          <w:sz w:val="22"/>
          <w:szCs w:val="22"/>
        </w:rPr>
        <w:t xml:space="preserve">, </w:t>
      </w:r>
      <w:r w:rsidR="00F006E5" w:rsidRPr="008F2715">
        <w:rPr>
          <w:rFonts w:ascii="Arial" w:hAnsi="Arial" w:cs="Arial"/>
          <w:b/>
          <w:sz w:val="22"/>
          <w:szCs w:val="22"/>
        </w:rPr>
        <w:t>O</w:t>
      </w:r>
      <w:r w:rsidR="001D1E99" w:rsidRPr="008F2715">
        <w:rPr>
          <w:rFonts w:ascii="Arial" w:hAnsi="Arial" w:cs="Arial"/>
          <w:b/>
          <w:sz w:val="22"/>
          <w:szCs w:val="22"/>
        </w:rPr>
        <w:t>peračný program integrovaná infraštruktúra (</w:t>
      </w:r>
      <w:r w:rsidR="003F1CB7" w:rsidRPr="008F2715">
        <w:rPr>
          <w:rFonts w:ascii="Arial" w:hAnsi="Arial" w:cs="Arial"/>
          <w:b/>
          <w:sz w:val="22"/>
          <w:szCs w:val="22"/>
        </w:rPr>
        <w:t>OPII</w:t>
      </w:r>
      <w:r w:rsidR="001D1E99" w:rsidRPr="008F2715">
        <w:rPr>
          <w:rFonts w:ascii="Arial" w:hAnsi="Arial" w:cs="Arial"/>
          <w:b/>
          <w:sz w:val="22"/>
          <w:szCs w:val="22"/>
          <w:lang w:val="en-US"/>
        </w:rPr>
        <w:t>)</w:t>
      </w:r>
      <w:r w:rsidR="003F1CB7" w:rsidRPr="008F2715">
        <w:rPr>
          <w:rFonts w:ascii="Arial" w:hAnsi="Arial" w:cs="Arial"/>
          <w:b/>
          <w:sz w:val="22"/>
          <w:szCs w:val="22"/>
        </w:rPr>
        <w:t xml:space="preserve">, </w:t>
      </w:r>
      <w:r w:rsidR="00F006E5" w:rsidRPr="008F2715">
        <w:rPr>
          <w:rFonts w:ascii="Arial" w:hAnsi="Arial" w:cs="Arial"/>
          <w:b/>
          <w:sz w:val="22"/>
          <w:szCs w:val="22"/>
        </w:rPr>
        <w:t>O</w:t>
      </w:r>
      <w:r w:rsidR="001D1E99" w:rsidRPr="008F2715">
        <w:rPr>
          <w:rFonts w:ascii="Arial" w:hAnsi="Arial" w:cs="Arial"/>
          <w:b/>
          <w:sz w:val="22"/>
          <w:szCs w:val="22"/>
        </w:rPr>
        <w:t>peračný program Rozvoj vidieka (OPRV</w:t>
      </w:r>
      <w:r w:rsidR="001D1E99" w:rsidRPr="008F2715">
        <w:rPr>
          <w:rFonts w:ascii="Arial" w:hAnsi="Arial" w:cs="Arial"/>
          <w:b/>
          <w:sz w:val="22"/>
          <w:szCs w:val="22"/>
          <w:lang w:val="en-US"/>
        </w:rPr>
        <w:t xml:space="preserve">), </w:t>
      </w:r>
      <w:r w:rsidR="00F006E5" w:rsidRPr="008F2715">
        <w:rPr>
          <w:rFonts w:ascii="Arial" w:hAnsi="Arial" w:cs="Arial"/>
          <w:b/>
          <w:sz w:val="22"/>
          <w:szCs w:val="22"/>
          <w:lang w:val="en-US"/>
        </w:rPr>
        <w:t>I</w:t>
      </w:r>
      <w:r w:rsidR="001D1E99" w:rsidRPr="008F2715">
        <w:rPr>
          <w:rFonts w:ascii="Arial" w:hAnsi="Arial" w:cs="Arial"/>
          <w:b/>
          <w:sz w:val="22"/>
          <w:szCs w:val="22"/>
        </w:rPr>
        <w:t xml:space="preserve">ntegrovaný regionálny </w:t>
      </w:r>
      <w:r w:rsidR="003F1CB7" w:rsidRPr="008F2715">
        <w:rPr>
          <w:rFonts w:ascii="Arial" w:hAnsi="Arial" w:cs="Arial"/>
          <w:b/>
          <w:sz w:val="22"/>
          <w:szCs w:val="22"/>
        </w:rPr>
        <w:t xml:space="preserve">operačný program </w:t>
      </w:r>
      <w:r w:rsidR="001D1E99" w:rsidRPr="008F2715">
        <w:rPr>
          <w:rFonts w:ascii="Arial" w:hAnsi="Arial" w:cs="Arial"/>
          <w:b/>
          <w:sz w:val="22"/>
          <w:szCs w:val="22"/>
        </w:rPr>
        <w:t>(IROP</w:t>
      </w:r>
      <w:r w:rsidR="001D1E99" w:rsidRPr="008F2715">
        <w:rPr>
          <w:rFonts w:ascii="Arial" w:hAnsi="Arial" w:cs="Arial"/>
          <w:b/>
          <w:sz w:val="22"/>
          <w:szCs w:val="22"/>
          <w:lang w:val="en-US"/>
        </w:rPr>
        <w:t>)</w:t>
      </w:r>
      <w:r w:rsidR="001D1E99" w:rsidRPr="008F2715">
        <w:rPr>
          <w:rFonts w:ascii="Arial" w:hAnsi="Arial" w:cs="Arial"/>
          <w:b/>
          <w:sz w:val="22"/>
          <w:szCs w:val="22"/>
        </w:rPr>
        <w:t xml:space="preserve"> ako aj v </w:t>
      </w:r>
      <w:r w:rsidR="003F1CB7" w:rsidRPr="008F2715">
        <w:rPr>
          <w:rFonts w:ascii="Arial" w:hAnsi="Arial" w:cs="Arial"/>
          <w:b/>
          <w:sz w:val="22"/>
          <w:szCs w:val="22"/>
        </w:rPr>
        <w:t>pracovn</w:t>
      </w:r>
      <w:r w:rsidR="001D1E99" w:rsidRPr="008F2715">
        <w:rPr>
          <w:rFonts w:ascii="Arial" w:hAnsi="Arial" w:cs="Arial"/>
          <w:b/>
          <w:sz w:val="22"/>
          <w:szCs w:val="22"/>
        </w:rPr>
        <w:t xml:space="preserve">ých </w:t>
      </w:r>
      <w:r w:rsidR="003F1CB7" w:rsidRPr="008F2715">
        <w:rPr>
          <w:rFonts w:ascii="Arial" w:hAnsi="Arial" w:cs="Arial"/>
          <w:b/>
          <w:sz w:val="22"/>
          <w:szCs w:val="22"/>
        </w:rPr>
        <w:t>skupin</w:t>
      </w:r>
      <w:r w:rsidR="001D1E99" w:rsidRPr="008F2715">
        <w:rPr>
          <w:rFonts w:ascii="Arial" w:hAnsi="Arial" w:cs="Arial"/>
          <w:b/>
          <w:sz w:val="22"/>
          <w:szCs w:val="22"/>
        </w:rPr>
        <w:t>ách programov</w:t>
      </w:r>
      <w:r w:rsidR="003F1CB7" w:rsidRPr="008F2715">
        <w:rPr>
          <w:rFonts w:ascii="Arial" w:hAnsi="Arial" w:cs="Arial"/>
          <w:b/>
          <w:sz w:val="22"/>
          <w:szCs w:val="22"/>
        </w:rPr>
        <w:t xml:space="preserve"> cezhraničnej spolupráce</w:t>
      </w:r>
      <w:r w:rsidR="001D1E99" w:rsidRPr="008F2715">
        <w:rPr>
          <w:rFonts w:ascii="Arial" w:hAnsi="Arial" w:cs="Arial"/>
          <w:b/>
          <w:sz w:val="22"/>
          <w:szCs w:val="22"/>
        </w:rPr>
        <w:t xml:space="preserve"> SK-AT, SK-HU, SK-CZ</w:t>
      </w:r>
      <w:r w:rsidR="003F1CB7" w:rsidRPr="008F2715">
        <w:rPr>
          <w:rFonts w:ascii="Arial" w:hAnsi="Arial" w:cs="Arial"/>
          <w:b/>
          <w:sz w:val="22"/>
          <w:szCs w:val="22"/>
        </w:rPr>
        <w:t>.</w:t>
      </w:r>
      <w:r w:rsidRPr="005C1A66">
        <w:rPr>
          <w:rFonts w:ascii="Arial" w:hAnsi="Arial" w:cs="Arial"/>
          <w:sz w:val="22"/>
          <w:szCs w:val="22"/>
        </w:rPr>
        <w:t xml:space="preserve"> Skupinu</w:t>
      </w:r>
      <w:r w:rsidR="003F1CB7">
        <w:rPr>
          <w:rFonts w:ascii="Arial" w:hAnsi="Arial" w:cs="Arial"/>
          <w:sz w:val="22"/>
          <w:szCs w:val="22"/>
        </w:rPr>
        <w:t xml:space="preserve"> Partnerstvo súdržnosti</w:t>
      </w:r>
      <w:r w:rsidRPr="005C1A66">
        <w:rPr>
          <w:rFonts w:ascii="Arial" w:hAnsi="Arial" w:cs="Arial"/>
          <w:sz w:val="22"/>
          <w:szCs w:val="22"/>
        </w:rPr>
        <w:t xml:space="preserve"> koordinuje </w:t>
      </w:r>
      <w:r w:rsidR="003F1CB7">
        <w:rPr>
          <w:rFonts w:ascii="Arial" w:hAnsi="Arial" w:cs="Arial"/>
          <w:sz w:val="22"/>
          <w:szCs w:val="22"/>
        </w:rPr>
        <w:t>Centrálny koordinačný orgán</w:t>
      </w:r>
      <w:r w:rsidR="006633A5" w:rsidRPr="005C1A66">
        <w:rPr>
          <w:rFonts w:ascii="Arial" w:hAnsi="Arial" w:cs="Arial"/>
          <w:sz w:val="22"/>
          <w:szCs w:val="22"/>
        </w:rPr>
        <w:t> pod dohľadom Úradu vlády SR</w:t>
      </w:r>
      <w:r w:rsidR="008F2715">
        <w:rPr>
          <w:rFonts w:ascii="Arial" w:hAnsi="Arial" w:cs="Arial"/>
          <w:sz w:val="22"/>
          <w:szCs w:val="22"/>
        </w:rPr>
        <w:t>, ktorá</w:t>
      </w:r>
      <w:r w:rsidR="006633A5" w:rsidRPr="005C1A66">
        <w:rPr>
          <w:rFonts w:ascii="Arial" w:hAnsi="Arial" w:cs="Arial"/>
          <w:sz w:val="22"/>
          <w:szCs w:val="22"/>
        </w:rPr>
        <w:t xml:space="preserve"> sa</w:t>
      </w:r>
      <w:r w:rsidRPr="005C1A66">
        <w:rPr>
          <w:rFonts w:ascii="Arial" w:hAnsi="Arial" w:cs="Arial"/>
          <w:sz w:val="22"/>
          <w:szCs w:val="22"/>
        </w:rPr>
        <w:t> stretáva k príprave nového programového obdobia a k príprave Partnerskej dohody, ktorá bude obdobou súčasného Národného strategického referenčného rámca.</w:t>
      </w:r>
    </w:p>
    <w:p w:rsidR="00DF62C1" w:rsidRPr="005C1A66" w:rsidRDefault="00DF62C1" w:rsidP="00654EA0">
      <w:pPr>
        <w:contextualSpacing/>
        <w:jc w:val="both"/>
        <w:outlineLvl w:val="0"/>
        <w:rPr>
          <w:rFonts w:ascii="Arial" w:hAnsi="Arial" w:cs="Arial"/>
          <w:sz w:val="22"/>
          <w:szCs w:val="22"/>
        </w:rPr>
      </w:pPr>
    </w:p>
    <w:p w:rsidR="00DF62C1" w:rsidRPr="005C1A66" w:rsidRDefault="00DF62C1" w:rsidP="00654EA0">
      <w:pPr>
        <w:autoSpaceDE w:val="0"/>
        <w:autoSpaceDN w:val="0"/>
        <w:adjustRightInd w:val="0"/>
        <w:contextualSpacing/>
        <w:jc w:val="both"/>
        <w:rPr>
          <w:rFonts w:ascii="Arial" w:hAnsi="Arial" w:cs="Arial"/>
          <w:b/>
          <w:sz w:val="22"/>
          <w:szCs w:val="22"/>
        </w:rPr>
      </w:pPr>
      <w:r w:rsidRPr="005C1A66">
        <w:rPr>
          <w:rFonts w:ascii="Arial" w:hAnsi="Arial" w:cs="Arial"/>
          <w:b/>
          <w:sz w:val="22"/>
          <w:szCs w:val="22"/>
        </w:rPr>
        <w:t>Zároveň sa pravidelne uskutočňujú pracovné stretnutia vedenia BSK a zástupcov Odboru stratégie, územného rozvoja a riadenia projektov BSK so Stálym z</w:t>
      </w:r>
      <w:r w:rsidR="006633A5" w:rsidRPr="005C1A66">
        <w:rPr>
          <w:rFonts w:ascii="Arial" w:hAnsi="Arial" w:cs="Arial"/>
          <w:b/>
          <w:sz w:val="22"/>
          <w:szCs w:val="22"/>
        </w:rPr>
        <w:t xml:space="preserve">astúpením SR pri EÚ v Bruseli, </w:t>
      </w:r>
      <w:r w:rsidRPr="005C1A66">
        <w:rPr>
          <w:rFonts w:ascii="Arial" w:hAnsi="Arial" w:cs="Arial"/>
          <w:b/>
          <w:sz w:val="22"/>
          <w:szCs w:val="22"/>
        </w:rPr>
        <w:t>zástupcami Generálneho riaditeľstva Európskej komisie pre regionálnu politiku</w:t>
      </w:r>
      <w:r w:rsidR="006633A5" w:rsidRPr="005C1A66">
        <w:rPr>
          <w:rFonts w:ascii="Arial" w:hAnsi="Arial" w:cs="Arial"/>
          <w:b/>
          <w:sz w:val="22"/>
          <w:szCs w:val="22"/>
        </w:rPr>
        <w:t xml:space="preserve">, Centrálnym koordinačným orgánom a Ministerstvom pôdohospodárstva a rozvoja vidieka SR </w:t>
      </w:r>
      <w:r w:rsidRPr="005C1A66">
        <w:rPr>
          <w:rFonts w:ascii="Arial" w:hAnsi="Arial" w:cs="Arial"/>
          <w:b/>
          <w:sz w:val="22"/>
          <w:szCs w:val="22"/>
        </w:rPr>
        <w:t>k príprave nového programového obdobia.</w:t>
      </w:r>
    </w:p>
    <w:p w:rsidR="00DF62C1" w:rsidRPr="005C1A66" w:rsidRDefault="00DF62C1" w:rsidP="00654EA0">
      <w:pPr>
        <w:jc w:val="center"/>
        <w:rPr>
          <w:rFonts w:ascii="Arial" w:hAnsi="Arial" w:cs="Arial"/>
          <w:b/>
          <w:sz w:val="22"/>
          <w:szCs w:val="22"/>
        </w:rPr>
      </w:pPr>
    </w:p>
    <w:p w:rsidR="00F006E5" w:rsidRDefault="00F006E5" w:rsidP="00654EA0">
      <w:pPr>
        <w:jc w:val="both"/>
        <w:rPr>
          <w:rFonts w:ascii="Arial" w:hAnsi="Arial" w:cs="Arial"/>
          <w:color w:val="000000"/>
          <w:sz w:val="22"/>
          <w:szCs w:val="22"/>
        </w:rPr>
      </w:pPr>
    </w:p>
    <w:p w:rsidR="00F006E5" w:rsidRDefault="00F006E5" w:rsidP="00654EA0">
      <w:pPr>
        <w:jc w:val="both"/>
        <w:rPr>
          <w:rFonts w:ascii="Arial" w:hAnsi="Arial" w:cs="Arial"/>
          <w:color w:val="000000"/>
          <w:sz w:val="22"/>
          <w:szCs w:val="22"/>
        </w:rPr>
      </w:pPr>
    </w:p>
    <w:p w:rsidR="00F006E5" w:rsidRDefault="00F006E5" w:rsidP="00654EA0">
      <w:pPr>
        <w:jc w:val="both"/>
        <w:rPr>
          <w:rFonts w:ascii="Arial" w:hAnsi="Arial" w:cs="Arial"/>
          <w:color w:val="000000"/>
          <w:sz w:val="22"/>
          <w:szCs w:val="22"/>
        </w:rPr>
      </w:pPr>
    </w:p>
    <w:p w:rsidR="00DF62C1" w:rsidRPr="005C1A66" w:rsidRDefault="00DF62C1" w:rsidP="00654EA0">
      <w:pPr>
        <w:jc w:val="both"/>
        <w:rPr>
          <w:rFonts w:ascii="Arial" w:hAnsi="Arial" w:cs="Arial"/>
          <w:color w:val="000000"/>
          <w:sz w:val="22"/>
          <w:szCs w:val="22"/>
        </w:rPr>
      </w:pPr>
      <w:r w:rsidRPr="005C1A66">
        <w:rPr>
          <w:rFonts w:ascii="Arial" w:hAnsi="Arial" w:cs="Arial"/>
          <w:color w:val="000000"/>
          <w:sz w:val="22"/>
          <w:szCs w:val="22"/>
        </w:rPr>
        <w:lastRenderedPageBreak/>
        <w:t xml:space="preserve">V rámci príprav na nové programové obdobie si </w:t>
      </w:r>
      <w:r w:rsidRPr="005C1A66">
        <w:rPr>
          <w:rFonts w:ascii="Arial" w:hAnsi="Arial" w:cs="Arial"/>
          <w:b/>
          <w:color w:val="000000"/>
          <w:sz w:val="22"/>
          <w:szCs w:val="22"/>
        </w:rPr>
        <w:t>BSK dal v priebehu roka 2012 vypracovať koncepčné dokumenty strategického charakteru ako Program hospodárskeho a sociálneho rozvoja BSK</w:t>
      </w:r>
      <w:r w:rsidRPr="005C1A66">
        <w:rPr>
          <w:rFonts w:ascii="Arial" w:hAnsi="Arial" w:cs="Arial"/>
          <w:color w:val="000000"/>
          <w:sz w:val="22"/>
          <w:szCs w:val="22"/>
        </w:rPr>
        <w:t>, ktorý je spracovaný na základe zákona č. 539/2008 Z.z.</w:t>
      </w:r>
      <w:r w:rsidR="00793828" w:rsidRPr="005C1A66">
        <w:rPr>
          <w:rFonts w:ascii="Arial" w:hAnsi="Arial" w:cs="Arial"/>
          <w:color w:val="000000"/>
          <w:sz w:val="22"/>
          <w:szCs w:val="22"/>
        </w:rPr>
        <w:t>, ktorý odzrkadľu</w:t>
      </w:r>
      <w:r w:rsidR="00A6172B" w:rsidRPr="005C1A66">
        <w:rPr>
          <w:rFonts w:ascii="Arial" w:hAnsi="Arial" w:cs="Arial"/>
          <w:color w:val="000000"/>
          <w:sz w:val="22"/>
          <w:szCs w:val="22"/>
        </w:rPr>
        <w:t>je ciele a priority Stratégie Európa</w:t>
      </w:r>
      <w:r w:rsidR="00793828" w:rsidRPr="005C1A66">
        <w:rPr>
          <w:rFonts w:ascii="Arial" w:hAnsi="Arial" w:cs="Arial"/>
          <w:color w:val="000000"/>
          <w:sz w:val="22"/>
          <w:szCs w:val="22"/>
        </w:rPr>
        <w:t xml:space="preserve"> 2020 a je východiskovým dokumentom pre vyjednávanie s Európskou komisiou pri príprave </w:t>
      </w:r>
      <w:r w:rsidR="00B33362">
        <w:rPr>
          <w:rFonts w:ascii="Arial" w:hAnsi="Arial" w:cs="Arial"/>
          <w:color w:val="000000"/>
          <w:sz w:val="22"/>
          <w:szCs w:val="22"/>
        </w:rPr>
        <w:t xml:space="preserve">operačných programov, </w:t>
      </w:r>
      <w:r w:rsidR="00470F32">
        <w:rPr>
          <w:rFonts w:ascii="Arial" w:hAnsi="Arial" w:cs="Arial"/>
          <w:color w:val="000000"/>
          <w:sz w:val="22"/>
          <w:szCs w:val="22"/>
        </w:rPr>
        <w:t>integrovaného regionálneho operačného programu</w:t>
      </w:r>
      <w:r w:rsidR="00B33362" w:rsidRPr="00B33362">
        <w:rPr>
          <w:rFonts w:ascii="Arial" w:hAnsi="Arial" w:cs="Arial"/>
          <w:color w:val="000000"/>
          <w:sz w:val="22"/>
          <w:szCs w:val="22"/>
        </w:rPr>
        <w:t xml:space="preserve"> </w:t>
      </w:r>
      <w:r w:rsidR="00B33362" w:rsidRPr="005C1A66">
        <w:rPr>
          <w:rFonts w:ascii="Arial" w:hAnsi="Arial" w:cs="Arial"/>
          <w:color w:val="000000"/>
          <w:sz w:val="22"/>
          <w:szCs w:val="22"/>
        </w:rPr>
        <w:t>a sektorových OP</w:t>
      </w:r>
      <w:r w:rsidR="00793828" w:rsidRPr="005C1A66">
        <w:rPr>
          <w:rFonts w:ascii="Arial" w:hAnsi="Arial" w:cs="Arial"/>
          <w:color w:val="000000"/>
          <w:sz w:val="22"/>
          <w:szCs w:val="22"/>
        </w:rPr>
        <w:t>, ale aj ETS. Nová</w:t>
      </w:r>
      <w:r w:rsidRPr="005C1A66">
        <w:rPr>
          <w:rFonts w:ascii="Arial" w:hAnsi="Arial" w:cs="Arial"/>
          <w:color w:val="000000"/>
          <w:sz w:val="22"/>
          <w:szCs w:val="22"/>
        </w:rPr>
        <w:t xml:space="preserve"> </w:t>
      </w:r>
      <w:r w:rsidR="00793828" w:rsidRPr="005C1A66">
        <w:rPr>
          <w:rFonts w:ascii="Arial" w:hAnsi="Arial" w:cs="Arial"/>
          <w:b/>
          <w:color w:val="000000"/>
          <w:sz w:val="22"/>
          <w:szCs w:val="22"/>
        </w:rPr>
        <w:t>Inovačná stratégia</w:t>
      </w:r>
      <w:r w:rsidRPr="005C1A66">
        <w:rPr>
          <w:rFonts w:ascii="Arial" w:hAnsi="Arial" w:cs="Arial"/>
          <w:b/>
          <w:color w:val="000000"/>
          <w:sz w:val="22"/>
          <w:szCs w:val="22"/>
        </w:rPr>
        <w:t xml:space="preserve"> BSK </w:t>
      </w:r>
      <w:r w:rsidR="00793828" w:rsidRPr="005C1A66">
        <w:rPr>
          <w:rFonts w:ascii="Arial" w:hAnsi="Arial" w:cs="Arial"/>
          <w:b/>
          <w:color w:val="000000"/>
          <w:sz w:val="22"/>
          <w:szCs w:val="22"/>
        </w:rPr>
        <w:t xml:space="preserve">je spracovaná </w:t>
      </w:r>
      <w:r w:rsidRPr="005C1A66">
        <w:rPr>
          <w:rFonts w:ascii="Arial" w:hAnsi="Arial" w:cs="Arial"/>
          <w:b/>
          <w:color w:val="000000"/>
          <w:sz w:val="22"/>
          <w:szCs w:val="22"/>
        </w:rPr>
        <w:t>v súlade s metodikou inteligentnej špecializácie S3</w:t>
      </w:r>
      <w:r w:rsidRPr="005C1A66">
        <w:rPr>
          <w:rFonts w:ascii="Arial" w:hAnsi="Arial" w:cs="Arial"/>
          <w:color w:val="000000"/>
          <w:sz w:val="22"/>
          <w:szCs w:val="22"/>
        </w:rPr>
        <w:t xml:space="preserve"> (ex-ante podmienka pre čerpanie eurofondov)</w:t>
      </w:r>
      <w:r w:rsidR="00793828" w:rsidRPr="005C1A66">
        <w:rPr>
          <w:rFonts w:ascii="Arial" w:hAnsi="Arial" w:cs="Arial"/>
          <w:color w:val="000000"/>
          <w:sz w:val="22"/>
          <w:szCs w:val="22"/>
        </w:rPr>
        <w:t>. Inovačná stratégia identifikuje</w:t>
      </w:r>
      <w:r w:rsidRPr="005C1A66">
        <w:rPr>
          <w:rFonts w:ascii="Arial" w:hAnsi="Arial" w:cs="Arial"/>
          <w:color w:val="000000"/>
          <w:sz w:val="22"/>
          <w:szCs w:val="22"/>
        </w:rPr>
        <w:t xml:space="preserve"> prioritné oblasti pre rozvoj výskumno-vývojovej a inovačnej základne BSK v období 2014 – 2020. Tieto koncepčné dokumenty sú</w:t>
      </w:r>
      <w:r w:rsidR="00A6172B" w:rsidRPr="005C1A66">
        <w:rPr>
          <w:rFonts w:ascii="Arial" w:hAnsi="Arial" w:cs="Arial"/>
          <w:color w:val="000000"/>
          <w:sz w:val="22"/>
          <w:szCs w:val="22"/>
        </w:rPr>
        <w:t xml:space="preserve"> v súlade s cieľmi Stratégie Európa </w:t>
      </w:r>
      <w:r w:rsidRPr="005C1A66">
        <w:rPr>
          <w:rFonts w:ascii="Arial" w:hAnsi="Arial" w:cs="Arial"/>
          <w:color w:val="000000"/>
          <w:sz w:val="22"/>
          <w:szCs w:val="22"/>
        </w:rPr>
        <w:t xml:space="preserve">2020 a prioritami Národnej stratégie regionálneho rozvoja. </w:t>
      </w:r>
    </w:p>
    <w:p w:rsidR="00A6172B" w:rsidRPr="005C1A66" w:rsidRDefault="00A6172B" w:rsidP="00654EA0">
      <w:pPr>
        <w:jc w:val="both"/>
        <w:rPr>
          <w:rFonts w:ascii="Arial" w:hAnsi="Arial" w:cs="Arial"/>
          <w:b/>
          <w:sz w:val="22"/>
          <w:szCs w:val="22"/>
        </w:rPr>
      </w:pPr>
    </w:p>
    <w:p w:rsidR="00A6172B" w:rsidRDefault="00A6172B" w:rsidP="00654EA0">
      <w:pPr>
        <w:jc w:val="both"/>
        <w:rPr>
          <w:rFonts w:ascii="Arial" w:hAnsi="Arial" w:cs="Arial"/>
          <w:b/>
          <w:sz w:val="22"/>
          <w:szCs w:val="22"/>
        </w:rPr>
      </w:pPr>
      <w:r w:rsidRPr="005C1A66">
        <w:rPr>
          <w:rFonts w:ascii="Arial" w:hAnsi="Arial" w:cs="Arial"/>
          <w:b/>
          <w:sz w:val="22"/>
          <w:szCs w:val="22"/>
        </w:rPr>
        <w:t>Stratégia Európa 2020</w:t>
      </w:r>
    </w:p>
    <w:p w:rsidR="004441C0" w:rsidRPr="005C1A66" w:rsidRDefault="004441C0" w:rsidP="00654EA0">
      <w:pPr>
        <w:jc w:val="both"/>
        <w:rPr>
          <w:rFonts w:ascii="Arial" w:hAnsi="Arial" w:cs="Arial"/>
          <w:b/>
          <w:sz w:val="22"/>
          <w:szCs w:val="22"/>
        </w:rPr>
      </w:pPr>
    </w:p>
    <w:p w:rsidR="006F10B0" w:rsidRPr="005C1A66" w:rsidRDefault="006F10B0" w:rsidP="00654EA0">
      <w:pPr>
        <w:jc w:val="both"/>
        <w:rPr>
          <w:rFonts w:ascii="Arial" w:hAnsi="Arial" w:cs="Arial"/>
          <w:sz w:val="22"/>
          <w:szCs w:val="22"/>
        </w:rPr>
      </w:pPr>
      <w:r w:rsidRPr="005C1A66">
        <w:rPr>
          <w:rFonts w:ascii="Arial" w:hAnsi="Arial" w:cs="Arial"/>
          <w:sz w:val="22"/>
          <w:szCs w:val="22"/>
        </w:rPr>
        <w:t xml:space="preserve">Európa 2020 je desaťročná stratégia Európskej únie v oblasti rastu. Zameriava sa na prekonanie hospodárskej krízy a odstránenie nedostatkov aktuálneho rastového modelu. Hlavným zámerom stratégie je, </w:t>
      </w:r>
      <w:r w:rsidR="00A6172B" w:rsidRPr="004441C0">
        <w:rPr>
          <w:rFonts w:ascii="Arial" w:hAnsi="Arial" w:cs="Arial"/>
          <w:b/>
          <w:sz w:val="22"/>
          <w:szCs w:val="22"/>
        </w:rPr>
        <w:t>aby sa v EÚ vybudovalo inteligentné, udržateľné a inkluzívne hospodárstvo</w:t>
      </w:r>
      <w:r w:rsidR="00A6172B" w:rsidRPr="005C1A66">
        <w:rPr>
          <w:rFonts w:ascii="Arial" w:hAnsi="Arial" w:cs="Arial"/>
          <w:sz w:val="22"/>
          <w:szCs w:val="22"/>
        </w:rPr>
        <w:t xml:space="preserve"> a</w:t>
      </w:r>
      <w:r w:rsidRPr="005C1A66">
        <w:rPr>
          <w:rFonts w:ascii="Arial" w:hAnsi="Arial" w:cs="Arial"/>
          <w:sz w:val="22"/>
          <w:szCs w:val="22"/>
        </w:rPr>
        <w:t xml:space="preserve"> má </w:t>
      </w:r>
      <w:r w:rsidR="00A6172B" w:rsidRPr="005C1A66">
        <w:rPr>
          <w:rFonts w:ascii="Arial" w:hAnsi="Arial" w:cs="Arial"/>
          <w:sz w:val="22"/>
          <w:szCs w:val="22"/>
        </w:rPr>
        <w:t>pomôcť EÚ a jej členským štátom dosiahnuť vyššiu mieru zamestnanosti, produ</w:t>
      </w:r>
      <w:r w:rsidRPr="005C1A66">
        <w:rPr>
          <w:rFonts w:ascii="Arial" w:hAnsi="Arial" w:cs="Arial"/>
          <w:sz w:val="22"/>
          <w:szCs w:val="22"/>
        </w:rPr>
        <w:t>ktivity a sociálnej súdržnosti.</w:t>
      </w:r>
    </w:p>
    <w:p w:rsidR="00701503" w:rsidRDefault="00701503" w:rsidP="00654EA0">
      <w:pPr>
        <w:jc w:val="both"/>
        <w:rPr>
          <w:rFonts w:ascii="Arial" w:hAnsi="Arial" w:cs="Arial"/>
          <w:sz w:val="22"/>
          <w:szCs w:val="22"/>
        </w:rPr>
      </w:pPr>
    </w:p>
    <w:p w:rsidR="00A6172B" w:rsidRPr="005C1A66" w:rsidRDefault="00A6172B" w:rsidP="00654EA0">
      <w:pPr>
        <w:jc w:val="both"/>
        <w:rPr>
          <w:rFonts w:ascii="Arial" w:hAnsi="Arial" w:cs="Arial"/>
          <w:sz w:val="22"/>
          <w:szCs w:val="22"/>
        </w:rPr>
      </w:pPr>
      <w:r w:rsidRPr="005C1A66">
        <w:rPr>
          <w:rFonts w:ascii="Arial" w:hAnsi="Arial" w:cs="Arial"/>
          <w:sz w:val="22"/>
          <w:szCs w:val="22"/>
        </w:rPr>
        <w:t xml:space="preserve">EÚ stanovila päť ambicióznych cieľov týkajúcich sa zamestnanosti, inovácií, vzdelania, sociálneho začlenenia a oblasti klímy a energetiky, ktoré by sa mali splniť do roku 2020. Všetky členské štáty prijali vlastné vnútroštátne ciele v každej z týchto oblastí. Konkrétne opatrenia na vnútroštátnej úrovni a na úrovni EÚ podporujú naplnenie stratégie. </w:t>
      </w:r>
    </w:p>
    <w:p w:rsidR="006633A5" w:rsidRPr="005C1A66" w:rsidRDefault="006633A5" w:rsidP="00654EA0">
      <w:pPr>
        <w:pStyle w:val="Odsekzoznamu"/>
        <w:autoSpaceDE w:val="0"/>
        <w:autoSpaceDN w:val="0"/>
        <w:ind w:left="0"/>
        <w:jc w:val="both"/>
        <w:rPr>
          <w:rFonts w:ascii="Arial" w:hAnsi="Arial" w:cs="Arial"/>
          <w:b/>
          <w:bCs/>
          <w:sz w:val="22"/>
          <w:szCs w:val="22"/>
        </w:rPr>
      </w:pPr>
    </w:p>
    <w:p w:rsidR="00F006E5" w:rsidRDefault="00F006E5" w:rsidP="00654EA0">
      <w:pPr>
        <w:pStyle w:val="Odsekzoznamu"/>
        <w:autoSpaceDE w:val="0"/>
        <w:autoSpaceDN w:val="0"/>
        <w:ind w:left="0"/>
        <w:jc w:val="both"/>
        <w:rPr>
          <w:rFonts w:ascii="Arial" w:hAnsi="Arial" w:cs="Arial"/>
          <w:b/>
          <w:bCs/>
          <w:sz w:val="22"/>
          <w:szCs w:val="22"/>
        </w:rPr>
      </w:pPr>
    </w:p>
    <w:p w:rsidR="00F006E5" w:rsidRDefault="00F006E5" w:rsidP="00654EA0">
      <w:pPr>
        <w:pStyle w:val="Odsekzoznamu"/>
        <w:autoSpaceDE w:val="0"/>
        <w:autoSpaceDN w:val="0"/>
        <w:ind w:left="0"/>
        <w:jc w:val="both"/>
        <w:rPr>
          <w:rFonts w:ascii="Arial" w:hAnsi="Arial" w:cs="Arial"/>
          <w:b/>
          <w:bCs/>
          <w:sz w:val="22"/>
          <w:szCs w:val="22"/>
        </w:rPr>
      </w:pPr>
    </w:p>
    <w:p w:rsidR="00162319" w:rsidRPr="005C1A66" w:rsidRDefault="00FE6E33" w:rsidP="00654EA0">
      <w:pPr>
        <w:pStyle w:val="Odsekzoznamu"/>
        <w:autoSpaceDE w:val="0"/>
        <w:autoSpaceDN w:val="0"/>
        <w:ind w:left="0"/>
        <w:jc w:val="both"/>
        <w:rPr>
          <w:rFonts w:ascii="Arial" w:hAnsi="Arial" w:cs="Arial"/>
          <w:sz w:val="22"/>
          <w:szCs w:val="22"/>
          <w:lang w:eastAsia="en-US"/>
        </w:rPr>
      </w:pPr>
      <w:r w:rsidRPr="005C1A66">
        <w:rPr>
          <w:rFonts w:ascii="Arial" w:hAnsi="Arial" w:cs="Arial"/>
          <w:b/>
          <w:bCs/>
          <w:sz w:val="22"/>
          <w:szCs w:val="22"/>
        </w:rPr>
        <w:t>Hlavné ciele</w:t>
      </w:r>
      <w:r w:rsidR="00162319" w:rsidRPr="005C1A66">
        <w:rPr>
          <w:rFonts w:ascii="Arial" w:hAnsi="Arial" w:cs="Arial"/>
          <w:b/>
          <w:bCs/>
          <w:sz w:val="22"/>
          <w:szCs w:val="22"/>
        </w:rPr>
        <w:t xml:space="preserve"> Stratégie Európa 2020</w:t>
      </w:r>
    </w:p>
    <w:p w:rsidR="00162319" w:rsidRPr="005C1A66" w:rsidRDefault="00162319" w:rsidP="00654EA0">
      <w:pPr>
        <w:autoSpaceDE w:val="0"/>
        <w:autoSpaceDN w:val="0"/>
        <w:rPr>
          <w:rFonts w:ascii="Arial" w:hAnsi="Arial" w:cs="Arial"/>
          <w:sz w:val="22"/>
          <w:szCs w:val="22"/>
        </w:rPr>
      </w:pPr>
    </w:p>
    <w:p w:rsidR="00162319" w:rsidRPr="005C1A66" w:rsidRDefault="006633A5" w:rsidP="004441C0">
      <w:pPr>
        <w:pStyle w:val="Odsekzoznamu"/>
        <w:numPr>
          <w:ilvl w:val="0"/>
          <w:numId w:val="19"/>
        </w:numPr>
        <w:jc w:val="both"/>
        <w:rPr>
          <w:rFonts w:ascii="Arial" w:hAnsi="Arial" w:cs="Arial"/>
          <w:sz w:val="22"/>
          <w:szCs w:val="22"/>
        </w:rPr>
      </w:pPr>
      <w:r w:rsidRPr="005C1A66">
        <w:rPr>
          <w:rFonts w:ascii="Arial" w:hAnsi="Arial" w:cs="Arial"/>
          <w:sz w:val="22"/>
          <w:szCs w:val="22"/>
        </w:rPr>
        <w:t>I</w:t>
      </w:r>
      <w:r w:rsidR="00162319" w:rsidRPr="005C1A66">
        <w:rPr>
          <w:rFonts w:ascii="Arial" w:hAnsi="Arial" w:cs="Arial"/>
          <w:sz w:val="22"/>
          <w:szCs w:val="22"/>
        </w:rPr>
        <w:t>nvestovať do výskumu a vývoja 3 % hrubého domáceho produktu (</w:t>
      </w:r>
      <w:r w:rsidRPr="005C1A66">
        <w:rPr>
          <w:rFonts w:ascii="Arial" w:hAnsi="Arial" w:cs="Arial"/>
          <w:sz w:val="22"/>
          <w:szCs w:val="22"/>
        </w:rPr>
        <w:t>HDP</w:t>
      </w:r>
      <w:r w:rsidR="00162319" w:rsidRPr="005C1A66">
        <w:rPr>
          <w:rFonts w:ascii="Arial" w:hAnsi="Arial" w:cs="Arial"/>
          <w:sz w:val="22"/>
          <w:szCs w:val="22"/>
        </w:rPr>
        <w:t>) zlepšovaním podmienok pre investície súkromného sektora do výskumu a vývoja a vytvoriť nový uk</w:t>
      </w:r>
      <w:r w:rsidRPr="005C1A66">
        <w:rPr>
          <w:rFonts w:ascii="Arial" w:hAnsi="Arial" w:cs="Arial"/>
          <w:sz w:val="22"/>
          <w:szCs w:val="22"/>
        </w:rPr>
        <w:t>azovateľ na sledovanie inovácie</w:t>
      </w:r>
      <w:r w:rsidR="00B33362">
        <w:rPr>
          <w:rFonts w:ascii="Arial" w:hAnsi="Arial" w:cs="Arial"/>
          <w:sz w:val="22"/>
          <w:szCs w:val="22"/>
        </w:rPr>
        <w:t>.</w:t>
      </w:r>
    </w:p>
    <w:p w:rsidR="00162319" w:rsidRPr="005C1A66" w:rsidRDefault="00162319" w:rsidP="004441C0">
      <w:pPr>
        <w:pStyle w:val="Odsekzoznamu"/>
        <w:numPr>
          <w:ilvl w:val="0"/>
          <w:numId w:val="19"/>
        </w:numPr>
        <w:jc w:val="both"/>
        <w:rPr>
          <w:rFonts w:ascii="Arial" w:hAnsi="Arial" w:cs="Arial"/>
          <w:sz w:val="22"/>
          <w:szCs w:val="22"/>
        </w:rPr>
      </w:pPr>
      <w:r w:rsidRPr="005C1A66">
        <w:rPr>
          <w:rFonts w:ascii="Arial" w:hAnsi="Arial" w:cs="Arial"/>
          <w:sz w:val="22"/>
          <w:szCs w:val="22"/>
        </w:rPr>
        <w:t>Zvýšiť mieru zamestnanosti obyvateľstva vo veku 20 - 64 rokov zo s</w:t>
      </w:r>
      <w:r w:rsidR="006633A5" w:rsidRPr="005C1A66">
        <w:rPr>
          <w:rFonts w:ascii="Arial" w:hAnsi="Arial" w:cs="Arial"/>
          <w:sz w:val="22"/>
          <w:szCs w:val="22"/>
        </w:rPr>
        <w:t>účasných 69 % na minimálne 75 %</w:t>
      </w:r>
      <w:r w:rsidR="00B33362">
        <w:rPr>
          <w:rFonts w:ascii="Arial" w:hAnsi="Arial" w:cs="Arial"/>
          <w:sz w:val="22"/>
          <w:szCs w:val="22"/>
        </w:rPr>
        <w:t>.</w:t>
      </w:r>
    </w:p>
    <w:p w:rsidR="00162319" w:rsidRPr="005C1A66" w:rsidRDefault="00162319" w:rsidP="004441C0">
      <w:pPr>
        <w:pStyle w:val="Odsekzoznamu"/>
        <w:numPr>
          <w:ilvl w:val="0"/>
          <w:numId w:val="19"/>
        </w:numPr>
        <w:jc w:val="both"/>
        <w:rPr>
          <w:rFonts w:ascii="Arial" w:hAnsi="Arial" w:cs="Arial"/>
          <w:sz w:val="22"/>
          <w:szCs w:val="22"/>
        </w:rPr>
      </w:pPr>
      <w:r w:rsidRPr="005C1A66">
        <w:rPr>
          <w:rFonts w:ascii="Arial" w:hAnsi="Arial" w:cs="Arial"/>
          <w:sz w:val="22"/>
          <w:szCs w:val="22"/>
        </w:rPr>
        <w:t>Zní</w:t>
      </w:r>
      <w:r w:rsidR="00FE6E33" w:rsidRPr="005C1A66">
        <w:rPr>
          <w:rFonts w:ascii="Arial" w:hAnsi="Arial" w:cs="Arial"/>
          <w:sz w:val="22"/>
          <w:szCs w:val="22"/>
        </w:rPr>
        <w:t>žiť emisie skleníkových plynov</w:t>
      </w:r>
      <w:r w:rsidRPr="005C1A66">
        <w:rPr>
          <w:rFonts w:ascii="Arial" w:hAnsi="Arial" w:cs="Arial"/>
          <w:sz w:val="22"/>
          <w:szCs w:val="22"/>
        </w:rPr>
        <w:t xml:space="preserve"> minimálne</w:t>
      </w:r>
      <w:r w:rsidR="00FE6E33" w:rsidRPr="005C1A66">
        <w:rPr>
          <w:rFonts w:ascii="Arial" w:hAnsi="Arial" w:cs="Arial"/>
          <w:sz w:val="22"/>
          <w:szCs w:val="22"/>
        </w:rPr>
        <w:t xml:space="preserve"> o</w:t>
      </w:r>
      <w:r w:rsidRPr="005C1A66">
        <w:rPr>
          <w:rFonts w:ascii="Arial" w:hAnsi="Arial" w:cs="Arial"/>
          <w:sz w:val="22"/>
          <w:szCs w:val="22"/>
        </w:rPr>
        <w:t xml:space="preserve"> 20 % v porovnaní s úrovňami z roku 1990 alebo o 30 % v prípade priaznivých podmienok; zvýšiť podiel obnoviteľných zdrojov energie na konečnej spotrebe energie o 20 % a zvý</w:t>
      </w:r>
      <w:r w:rsidR="00FE6E33" w:rsidRPr="005C1A66">
        <w:rPr>
          <w:rFonts w:ascii="Arial" w:hAnsi="Arial" w:cs="Arial"/>
          <w:sz w:val="22"/>
          <w:szCs w:val="22"/>
        </w:rPr>
        <w:t>šiť energetickú účinnosť o 20 %</w:t>
      </w:r>
      <w:r w:rsidR="00B33362">
        <w:rPr>
          <w:rFonts w:ascii="Arial" w:hAnsi="Arial" w:cs="Arial"/>
          <w:sz w:val="22"/>
          <w:szCs w:val="22"/>
        </w:rPr>
        <w:t>.</w:t>
      </w:r>
    </w:p>
    <w:p w:rsidR="00162319" w:rsidRPr="005C1A66" w:rsidRDefault="00162319" w:rsidP="004441C0">
      <w:pPr>
        <w:pStyle w:val="Odsekzoznamu"/>
        <w:numPr>
          <w:ilvl w:val="0"/>
          <w:numId w:val="19"/>
        </w:numPr>
        <w:jc w:val="both"/>
        <w:rPr>
          <w:rFonts w:ascii="Arial" w:hAnsi="Arial" w:cs="Arial"/>
          <w:sz w:val="22"/>
          <w:szCs w:val="22"/>
        </w:rPr>
      </w:pPr>
      <w:r w:rsidRPr="005C1A66">
        <w:rPr>
          <w:rFonts w:ascii="Arial" w:hAnsi="Arial" w:cs="Arial"/>
          <w:sz w:val="22"/>
          <w:szCs w:val="22"/>
        </w:rPr>
        <w:t xml:space="preserve">Znížiť mieru predčasného ukončenia školskej dochádzky zo súčasných 15 % na 10 % a zvýšiť podiel obyvateľstva vo veku 30 – 34 rokov, ktorí majú ukončené vysokoškolské vzdelanie </w:t>
      </w:r>
      <w:r w:rsidR="00FE6E33" w:rsidRPr="005C1A66">
        <w:rPr>
          <w:rFonts w:ascii="Arial" w:hAnsi="Arial" w:cs="Arial"/>
          <w:sz w:val="22"/>
          <w:szCs w:val="22"/>
        </w:rPr>
        <w:t>z 31 % na minimálne 40 %</w:t>
      </w:r>
      <w:r w:rsidR="00B33362">
        <w:rPr>
          <w:rFonts w:ascii="Arial" w:hAnsi="Arial" w:cs="Arial"/>
          <w:sz w:val="22"/>
          <w:szCs w:val="22"/>
        </w:rPr>
        <w:t>.</w:t>
      </w:r>
    </w:p>
    <w:p w:rsidR="00162319" w:rsidRPr="005C1A66" w:rsidRDefault="00162319" w:rsidP="004441C0">
      <w:pPr>
        <w:pStyle w:val="Odsekzoznamu"/>
        <w:numPr>
          <w:ilvl w:val="0"/>
          <w:numId w:val="19"/>
        </w:numPr>
        <w:jc w:val="both"/>
        <w:rPr>
          <w:rFonts w:ascii="Arial" w:hAnsi="Arial" w:cs="Arial"/>
          <w:sz w:val="22"/>
          <w:szCs w:val="22"/>
        </w:rPr>
      </w:pPr>
      <w:r w:rsidRPr="005C1A66">
        <w:rPr>
          <w:rFonts w:ascii="Arial" w:hAnsi="Arial" w:cs="Arial"/>
          <w:sz w:val="22"/>
          <w:szCs w:val="22"/>
        </w:rPr>
        <w:t>Znížiť podiel Európanov, ktorí žijú pod hranicou chudoby jednotlivých krajín o 25 %, čo by viedlo k tomu, že 20 miliónov ľudí by</w:t>
      </w:r>
      <w:r w:rsidR="00FE6E33" w:rsidRPr="005C1A66">
        <w:rPr>
          <w:rFonts w:ascii="Arial" w:hAnsi="Arial" w:cs="Arial"/>
          <w:sz w:val="22"/>
          <w:szCs w:val="22"/>
        </w:rPr>
        <w:t xml:space="preserve"> sa dostalo nad hranicu chudoby</w:t>
      </w:r>
      <w:r w:rsidR="00B33362">
        <w:rPr>
          <w:rFonts w:ascii="Arial" w:hAnsi="Arial" w:cs="Arial"/>
          <w:sz w:val="22"/>
          <w:szCs w:val="22"/>
        </w:rPr>
        <w:t>.</w:t>
      </w:r>
    </w:p>
    <w:p w:rsidR="00162319" w:rsidRPr="005C1A66" w:rsidRDefault="00162319" w:rsidP="00654EA0">
      <w:pPr>
        <w:pStyle w:val="Odsekzoznamu"/>
        <w:ind w:left="0"/>
        <w:jc w:val="both"/>
        <w:rPr>
          <w:rFonts w:ascii="Arial" w:hAnsi="Arial" w:cs="Arial"/>
          <w:sz w:val="22"/>
          <w:szCs w:val="22"/>
        </w:rPr>
      </w:pPr>
    </w:p>
    <w:p w:rsidR="00162319" w:rsidRPr="00470F32" w:rsidRDefault="00162319" w:rsidP="00654EA0">
      <w:pPr>
        <w:pStyle w:val="Odsekzoznamu"/>
        <w:ind w:left="0"/>
        <w:jc w:val="both"/>
        <w:rPr>
          <w:rFonts w:ascii="Arial" w:hAnsi="Arial" w:cs="Arial"/>
          <w:b/>
          <w:sz w:val="22"/>
          <w:szCs w:val="22"/>
        </w:rPr>
      </w:pPr>
      <w:r w:rsidRPr="00470F32">
        <w:rPr>
          <w:rFonts w:ascii="Arial" w:hAnsi="Arial" w:cs="Arial"/>
          <w:b/>
          <w:sz w:val="22"/>
          <w:szCs w:val="22"/>
        </w:rPr>
        <w:t xml:space="preserve">Ciele stratégie Európa 2020 </w:t>
      </w:r>
      <w:r w:rsidR="00470F32" w:rsidRPr="00470F32">
        <w:rPr>
          <w:rFonts w:ascii="Arial" w:hAnsi="Arial" w:cs="Arial"/>
          <w:b/>
          <w:sz w:val="22"/>
          <w:szCs w:val="22"/>
        </w:rPr>
        <w:t>predstavujú</w:t>
      </w:r>
      <w:r w:rsidRPr="00470F32">
        <w:rPr>
          <w:rFonts w:ascii="Arial" w:hAnsi="Arial" w:cs="Arial"/>
          <w:b/>
          <w:sz w:val="22"/>
          <w:szCs w:val="22"/>
        </w:rPr>
        <w:t xml:space="preserve"> jedno z hlavných východísk pre definovanie tematických cieľov a priorít Partnerskej</w:t>
      </w:r>
      <w:r w:rsidR="00470F32" w:rsidRPr="00470F32">
        <w:rPr>
          <w:rFonts w:ascii="Arial" w:hAnsi="Arial" w:cs="Arial"/>
          <w:b/>
          <w:sz w:val="22"/>
          <w:szCs w:val="22"/>
        </w:rPr>
        <w:t xml:space="preserve"> dohody SR na roky 2014 – 2020, a majú dopad na tvorbu </w:t>
      </w:r>
      <w:r w:rsidR="00F006E5">
        <w:rPr>
          <w:rFonts w:ascii="Arial" w:hAnsi="Arial" w:cs="Arial"/>
          <w:b/>
          <w:sz w:val="22"/>
          <w:szCs w:val="22"/>
        </w:rPr>
        <w:t xml:space="preserve">budúcich </w:t>
      </w:r>
      <w:r w:rsidR="00470F32" w:rsidRPr="00470F32">
        <w:rPr>
          <w:rFonts w:ascii="Arial" w:hAnsi="Arial" w:cs="Arial"/>
          <w:b/>
          <w:sz w:val="22"/>
          <w:szCs w:val="22"/>
        </w:rPr>
        <w:t xml:space="preserve">operačných programov. </w:t>
      </w:r>
    </w:p>
    <w:p w:rsidR="00162319" w:rsidRPr="005C1A66" w:rsidRDefault="00162319" w:rsidP="00654EA0">
      <w:pPr>
        <w:jc w:val="both"/>
        <w:rPr>
          <w:rFonts w:ascii="Arial" w:hAnsi="Arial" w:cs="Arial"/>
          <w:sz w:val="22"/>
          <w:szCs w:val="22"/>
        </w:rPr>
      </w:pPr>
    </w:p>
    <w:p w:rsidR="006633A5" w:rsidRPr="005C1A66" w:rsidRDefault="008F2715" w:rsidP="00654EA0">
      <w:pPr>
        <w:jc w:val="both"/>
        <w:rPr>
          <w:rFonts w:ascii="Arial" w:hAnsi="Arial" w:cs="Arial"/>
          <w:b/>
          <w:sz w:val="22"/>
          <w:szCs w:val="22"/>
        </w:rPr>
      </w:pPr>
      <w:r>
        <w:rPr>
          <w:rFonts w:ascii="Arial" w:hAnsi="Arial" w:cs="Arial"/>
          <w:sz w:val="22"/>
          <w:szCs w:val="22"/>
        </w:rPr>
        <w:t xml:space="preserve">Stratégia obsahuje </w:t>
      </w:r>
      <w:r w:rsidR="006633A5" w:rsidRPr="00B33362">
        <w:rPr>
          <w:rFonts w:ascii="Arial" w:hAnsi="Arial" w:cs="Arial"/>
          <w:sz w:val="22"/>
          <w:szCs w:val="22"/>
        </w:rPr>
        <w:t xml:space="preserve">sedem </w:t>
      </w:r>
      <w:hyperlink r:id="rId9" w:tooltip="hlavných iniciatív" w:history="1">
        <w:r w:rsidR="006633A5" w:rsidRPr="00B33362">
          <w:rPr>
            <w:rStyle w:val="Hypertextovprepojenie"/>
            <w:rFonts w:ascii="Arial" w:hAnsi="Arial" w:cs="Arial"/>
            <w:color w:val="auto"/>
            <w:sz w:val="22"/>
            <w:szCs w:val="22"/>
            <w:u w:val="none"/>
          </w:rPr>
          <w:t>hlavných iniciatív</w:t>
        </w:r>
      </w:hyperlink>
      <w:r w:rsidR="006633A5" w:rsidRPr="00B33362">
        <w:rPr>
          <w:rFonts w:ascii="Arial" w:hAnsi="Arial" w:cs="Arial"/>
          <w:sz w:val="22"/>
          <w:szCs w:val="22"/>
        </w:rPr>
        <w:t>, prostredníctvom ktorých orgány na európskej a vnútroštátnej úrovni vzájomne podporujú svoje úsilie na dosiahnutie cieľov str</w:t>
      </w:r>
      <w:r>
        <w:rPr>
          <w:rFonts w:ascii="Arial" w:hAnsi="Arial" w:cs="Arial"/>
          <w:sz w:val="22"/>
          <w:szCs w:val="22"/>
        </w:rPr>
        <w:t>atégie Európa 2020 v oblastiach</w:t>
      </w:r>
      <w:r w:rsidR="006633A5" w:rsidRPr="00B33362">
        <w:rPr>
          <w:rFonts w:ascii="Arial" w:hAnsi="Arial" w:cs="Arial"/>
          <w:sz w:val="22"/>
          <w:szCs w:val="22"/>
        </w:rPr>
        <w:t xml:space="preserve"> ako sú inovácie, digitálne hospodárstvo, zamestnanosť, mládež, priemyselná politika, chudoba a efektívne využívanie zdrojov.</w:t>
      </w:r>
    </w:p>
    <w:p w:rsidR="006633A5" w:rsidRPr="005C1A66" w:rsidRDefault="006633A5" w:rsidP="00654EA0">
      <w:pPr>
        <w:jc w:val="both"/>
        <w:rPr>
          <w:rFonts w:ascii="Arial" w:hAnsi="Arial" w:cs="Arial"/>
          <w:sz w:val="22"/>
          <w:szCs w:val="22"/>
        </w:rPr>
      </w:pPr>
    </w:p>
    <w:p w:rsidR="00F006E5" w:rsidRDefault="00F006E5" w:rsidP="003F1CB7">
      <w:pPr>
        <w:spacing w:after="120"/>
        <w:jc w:val="both"/>
        <w:rPr>
          <w:rFonts w:ascii="Arial" w:hAnsi="Arial" w:cs="Arial"/>
          <w:b/>
          <w:sz w:val="22"/>
          <w:szCs w:val="22"/>
        </w:rPr>
      </w:pPr>
    </w:p>
    <w:p w:rsidR="00F006E5" w:rsidRDefault="00F006E5" w:rsidP="003F1CB7">
      <w:pPr>
        <w:spacing w:after="120"/>
        <w:jc w:val="both"/>
        <w:rPr>
          <w:rFonts w:ascii="Arial" w:hAnsi="Arial" w:cs="Arial"/>
          <w:b/>
          <w:sz w:val="22"/>
          <w:szCs w:val="22"/>
        </w:rPr>
      </w:pPr>
    </w:p>
    <w:p w:rsidR="003F1CB7" w:rsidRPr="00B33362" w:rsidRDefault="003F1CB7" w:rsidP="003F1CB7">
      <w:pPr>
        <w:spacing w:after="120"/>
        <w:jc w:val="both"/>
        <w:rPr>
          <w:rFonts w:ascii="Arial" w:hAnsi="Arial" w:cs="Arial"/>
          <w:b/>
          <w:sz w:val="22"/>
          <w:szCs w:val="22"/>
        </w:rPr>
      </w:pPr>
      <w:r w:rsidRPr="00B33362">
        <w:rPr>
          <w:rFonts w:ascii="Arial" w:hAnsi="Arial" w:cs="Arial"/>
          <w:b/>
          <w:sz w:val="22"/>
          <w:szCs w:val="22"/>
        </w:rPr>
        <w:lastRenderedPageBreak/>
        <w:t>EK</w:t>
      </w:r>
      <w:r>
        <w:rPr>
          <w:rFonts w:ascii="Arial" w:hAnsi="Arial" w:cs="Arial"/>
          <w:b/>
          <w:sz w:val="22"/>
          <w:szCs w:val="22"/>
        </w:rPr>
        <w:t xml:space="preserve"> zvolila</w:t>
      </w:r>
      <w:r w:rsidRPr="00B33362">
        <w:rPr>
          <w:rFonts w:ascii="Arial" w:hAnsi="Arial" w:cs="Arial"/>
          <w:b/>
          <w:sz w:val="22"/>
          <w:szCs w:val="22"/>
        </w:rPr>
        <w:t xml:space="preserve"> pre nové programov</w:t>
      </w:r>
      <w:r w:rsidR="008F2715">
        <w:rPr>
          <w:rFonts w:ascii="Arial" w:hAnsi="Arial" w:cs="Arial"/>
          <w:b/>
          <w:sz w:val="22"/>
          <w:szCs w:val="22"/>
        </w:rPr>
        <w:t>é</w:t>
      </w:r>
      <w:r w:rsidRPr="00B33362">
        <w:rPr>
          <w:rFonts w:ascii="Arial" w:hAnsi="Arial" w:cs="Arial"/>
          <w:b/>
          <w:sz w:val="22"/>
          <w:szCs w:val="22"/>
        </w:rPr>
        <w:t xml:space="preserve"> obdobie 11 tematických cieľov, ktoré prispievajú k napĺňaniu stratégie Európa 2020:</w:t>
      </w:r>
    </w:p>
    <w:p w:rsidR="003F1CB7" w:rsidRPr="005C1A66" w:rsidRDefault="003F1CB7" w:rsidP="003F1CB7">
      <w:pPr>
        <w:pStyle w:val="Odsekzoznamu"/>
        <w:numPr>
          <w:ilvl w:val="0"/>
          <w:numId w:val="2"/>
        </w:numPr>
        <w:spacing w:after="120"/>
        <w:jc w:val="both"/>
        <w:rPr>
          <w:rFonts w:ascii="Arial" w:hAnsi="Arial" w:cs="Arial"/>
          <w:sz w:val="22"/>
          <w:szCs w:val="22"/>
        </w:rPr>
      </w:pPr>
      <w:r w:rsidRPr="005C1A66">
        <w:rPr>
          <w:rFonts w:ascii="Arial" w:hAnsi="Arial" w:cs="Arial"/>
          <w:sz w:val="22"/>
          <w:szCs w:val="22"/>
        </w:rPr>
        <w:t>Posilnenie výskumu, technologického rozvoja a inovácií;</w:t>
      </w:r>
    </w:p>
    <w:p w:rsidR="003F1CB7" w:rsidRPr="005C1A66" w:rsidRDefault="003F1CB7" w:rsidP="003F1CB7">
      <w:pPr>
        <w:pStyle w:val="Odsekzoznamu"/>
        <w:numPr>
          <w:ilvl w:val="0"/>
          <w:numId w:val="2"/>
        </w:numPr>
        <w:spacing w:after="120"/>
        <w:jc w:val="both"/>
        <w:rPr>
          <w:rFonts w:ascii="Arial" w:hAnsi="Arial" w:cs="Arial"/>
          <w:sz w:val="22"/>
          <w:szCs w:val="22"/>
        </w:rPr>
      </w:pPr>
      <w:r w:rsidRPr="005C1A66">
        <w:rPr>
          <w:rFonts w:ascii="Arial" w:hAnsi="Arial" w:cs="Arial"/>
          <w:sz w:val="22"/>
          <w:szCs w:val="22"/>
        </w:rPr>
        <w:t>Zlepšenie prístupu k používaniu a kvality informačno-komunikačných technológií;</w:t>
      </w:r>
    </w:p>
    <w:p w:rsidR="003F1CB7" w:rsidRPr="005C1A66" w:rsidRDefault="003F1CB7" w:rsidP="003F1CB7">
      <w:pPr>
        <w:pStyle w:val="Odsekzoznamu"/>
        <w:numPr>
          <w:ilvl w:val="0"/>
          <w:numId w:val="2"/>
        </w:numPr>
        <w:spacing w:after="120"/>
        <w:jc w:val="both"/>
        <w:rPr>
          <w:rFonts w:ascii="Arial" w:hAnsi="Arial" w:cs="Arial"/>
          <w:sz w:val="22"/>
          <w:szCs w:val="22"/>
        </w:rPr>
      </w:pPr>
      <w:r w:rsidRPr="005C1A66">
        <w:rPr>
          <w:rFonts w:ascii="Arial" w:hAnsi="Arial" w:cs="Arial"/>
          <w:sz w:val="22"/>
          <w:szCs w:val="22"/>
        </w:rPr>
        <w:t>Zvýšenie konkurencieschopnosti malých a stredných podnikov</w:t>
      </w:r>
      <w:r w:rsidR="008F2715">
        <w:rPr>
          <w:rFonts w:ascii="Arial" w:hAnsi="Arial" w:cs="Arial"/>
          <w:sz w:val="22"/>
          <w:szCs w:val="22"/>
        </w:rPr>
        <w:t>;</w:t>
      </w:r>
    </w:p>
    <w:p w:rsidR="003F1CB7" w:rsidRPr="005C1A66" w:rsidRDefault="003F1CB7" w:rsidP="003F1CB7">
      <w:pPr>
        <w:pStyle w:val="Odsekzoznamu"/>
        <w:numPr>
          <w:ilvl w:val="0"/>
          <w:numId w:val="2"/>
        </w:numPr>
        <w:spacing w:after="120"/>
        <w:jc w:val="both"/>
        <w:rPr>
          <w:rFonts w:ascii="Arial" w:hAnsi="Arial" w:cs="Arial"/>
          <w:sz w:val="22"/>
          <w:szCs w:val="22"/>
        </w:rPr>
      </w:pPr>
      <w:r w:rsidRPr="005C1A66">
        <w:rPr>
          <w:rFonts w:ascii="Arial" w:hAnsi="Arial" w:cs="Arial"/>
          <w:sz w:val="22"/>
          <w:szCs w:val="22"/>
        </w:rPr>
        <w:t>Podpora prechodu na hospodárstvo založené na nízkej produkcii uhlíka;</w:t>
      </w:r>
    </w:p>
    <w:p w:rsidR="003F1CB7" w:rsidRPr="005C1A66" w:rsidRDefault="003F1CB7" w:rsidP="003F1CB7">
      <w:pPr>
        <w:pStyle w:val="Odsekzoznamu"/>
        <w:numPr>
          <w:ilvl w:val="0"/>
          <w:numId w:val="2"/>
        </w:numPr>
        <w:spacing w:after="120"/>
        <w:jc w:val="both"/>
        <w:rPr>
          <w:rFonts w:ascii="Arial" w:hAnsi="Arial" w:cs="Arial"/>
          <w:sz w:val="22"/>
          <w:szCs w:val="22"/>
        </w:rPr>
      </w:pPr>
      <w:r w:rsidRPr="005C1A66">
        <w:rPr>
          <w:rFonts w:ascii="Arial" w:hAnsi="Arial" w:cs="Arial"/>
          <w:sz w:val="22"/>
          <w:szCs w:val="22"/>
        </w:rPr>
        <w:t>Podporovať prispôsobovanie sa klimatickým zmenám, prevencia rizík a riadenie;</w:t>
      </w:r>
    </w:p>
    <w:p w:rsidR="003F1CB7" w:rsidRPr="005C1A66" w:rsidRDefault="003F1CB7" w:rsidP="003F1CB7">
      <w:pPr>
        <w:pStyle w:val="Odsekzoznamu"/>
        <w:numPr>
          <w:ilvl w:val="0"/>
          <w:numId w:val="2"/>
        </w:numPr>
        <w:spacing w:after="120"/>
        <w:jc w:val="both"/>
        <w:rPr>
          <w:rFonts w:ascii="Arial" w:hAnsi="Arial" w:cs="Arial"/>
          <w:sz w:val="22"/>
          <w:szCs w:val="22"/>
        </w:rPr>
      </w:pPr>
      <w:r w:rsidRPr="005C1A66">
        <w:rPr>
          <w:rFonts w:ascii="Arial" w:hAnsi="Arial" w:cs="Arial"/>
          <w:sz w:val="22"/>
          <w:szCs w:val="22"/>
        </w:rPr>
        <w:t>Ochrana životného prostredia a podpora efektívneho využívania zdrojov;</w:t>
      </w:r>
    </w:p>
    <w:p w:rsidR="003F1CB7" w:rsidRPr="005C1A66" w:rsidRDefault="003F1CB7" w:rsidP="003F1CB7">
      <w:pPr>
        <w:pStyle w:val="Odsekzoznamu"/>
        <w:numPr>
          <w:ilvl w:val="0"/>
          <w:numId w:val="2"/>
        </w:numPr>
        <w:spacing w:after="120"/>
        <w:jc w:val="both"/>
        <w:rPr>
          <w:rFonts w:ascii="Arial" w:hAnsi="Arial" w:cs="Arial"/>
          <w:sz w:val="22"/>
          <w:szCs w:val="22"/>
        </w:rPr>
      </w:pPr>
      <w:r w:rsidRPr="005C1A66">
        <w:rPr>
          <w:rFonts w:ascii="Arial" w:hAnsi="Arial" w:cs="Arial"/>
          <w:sz w:val="22"/>
          <w:szCs w:val="22"/>
        </w:rPr>
        <w:t>Podpora trvalo udržateľnej dopravy a odstraňovanie prekážok v kľúčových dopravných sieťach;</w:t>
      </w:r>
    </w:p>
    <w:p w:rsidR="003F1CB7" w:rsidRPr="005C1A66" w:rsidRDefault="003F1CB7" w:rsidP="003F1CB7">
      <w:pPr>
        <w:pStyle w:val="Odsekzoznamu"/>
        <w:numPr>
          <w:ilvl w:val="0"/>
          <w:numId w:val="2"/>
        </w:numPr>
        <w:jc w:val="both"/>
        <w:rPr>
          <w:rFonts w:ascii="Arial" w:hAnsi="Arial" w:cs="Arial"/>
          <w:sz w:val="22"/>
          <w:szCs w:val="22"/>
        </w:rPr>
      </w:pPr>
      <w:r w:rsidRPr="005C1A66">
        <w:rPr>
          <w:rFonts w:ascii="Arial" w:hAnsi="Arial" w:cs="Arial"/>
          <w:sz w:val="22"/>
          <w:szCs w:val="22"/>
        </w:rPr>
        <w:t>Podpora zamestnanosti a pracovnej mobility;</w:t>
      </w:r>
    </w:p>
    <w:p w:rsidR="003F1CB7" w:rsidRPr="005C1A66" w:rsidRDefault="003F1CB7" w:rsidP="003F1CB7">
      <w:pPr>
        <w:pStyle w:val="Odsekzoznamu"/>
        <w:numPr>
          <w:ilvl w:val="0"/>
          <w:numId w:val="2"/>
        </w:numPr>
        <w:jc w:val="both"/>
        <w:rPr>
          <w:rFonts w:ascii="Arial" w:hAnsi="Arial" w:cs="Arial"/>
          <w:sz w:val="22"/>
          <w:szCs w:val="22"/>
        </w:rPr>
      </w:pPr>
      <w:r w:rsidRPr="005C1A66">
        <w:rPr>
          <w:rFonts w:ascii="Arial" w:hAnsi="Arial" w:cs="Arial"/>
          <w:sz w:val="22"/>
          <w:szCs w:val="22"/>
        </w:rPr>
        <w:t>Podpora sociálnej inklúzie a boja s chudobou;</w:t>
      </w:r>
    </w:p>
    <w:p w:rsidR="003F1CB7" w:rsidRPr="005C1A66" w:rsidRDefault="003F1CB7" w:rsidP="003F1CB7">
      <w:pPr>
        <w:pStyle w:val="Odsekzoznamu"/>
        <w:numPr>
          <w:ilvl w:val="0"/>
          <w:numId w:val="2"/>
        </w:numPr>
        <w:jc w:val="both"/>
        <w:rPr>
          <w:rFonts w:ascii="Arial" w:hAnsi="Arial" w:cs="Arial"/>
          <w:sz w:val="22"/>
          <w:szCs w:val="22"/>
        </w:rPr>
      </w:pPr>
      <w:r w:rsidRPr="005C1A66">
        <w:rPr>
          <w:rFonts w:ascii="Arial" w:hAnsi="Arial" w:cs="Arial"/>
          <w:sz w:val="22"/>
          <w:szCs w:val="22"/>
        </w:rPr>
        <w:t>Investície do vzdelávania, schopností a celoživotného vzdelávania;</w:t>
      </w:r>
    </w:p>
    <w:p w:rsidR="003F1CB7" w:rsidRPr="005C1A66" w:rsidRDefault="003F1CB7" w:rsidP="003F1CB7">
      <w:pPr>
        <w:pStyle w:val="Odsekzoznamu"/>
        <w:numPr>
          <w:ilvl w:val="0"/>
          <w:numId w:val="2"/>
        </w:numPr>
        <w:jc w:val="both"/>
        <w:rPr>
          <w:rFonts w:ascii="Arial" w:hAnsi="Arial" w:cs="Arial"/>
          <w:sz w:val="22"/>
          <w:szCs w:val="22"/>
        </w:rPr>
      </w:pPr>
      <w:r w:rsidRPr="005C1A66">
        <w:rPr>
          <w:rFonts w:ascii="Arial" w:hAnsi="Arial" w:cs="Arial"/>
          <w:sz w:val="22"/>
          <w:szCs w:val="22"/>
        </w:rPr>
        <w:t>Podporovanie inštitucionálnych kapacít a efektívnej verejnej správy</w:t>
      </w:r>
      <w:r w:rsidR="008F2715">
        <w:rPr>
          <w:rFonts w:ascii="Arial" w:hAnsi="Arial" w:cs="Arial"/>
          <w:sz w:val="22"/>
          <w:szCs w:val="22"/>
        </w:rPr>
        <w:t>.</w:t>
      </w:r>
    </w:p>
    <w:p w:rsidR="003F1CB7" w:rsidRPr="005C1A66" w:rsidRDefault="003F1CB7" w:rsidP="003F1CB7">
      <w:pPr>
        <w:ind w:firstLine="360"/>
        <w:jc w:val="both"/>
        <w:rPr>
          <w:rFonts w:ascii="Arial" w:hAnsi="Arial" w:cs="Arial"/>
          <w:sz w:val="22"/>
          <w:szCs w:val="22"/>
        </w:rPr>
      </w:pPr>
    </w:p>
    <w:p w:rsidR="003F1CB7" w:rsidRDefault="003F1CB7" w:rsidP="003F1CB7">
      <w:pPr>
        <w:jc w:val="both"/>
        <w:rPr>
          <w:rFonts w:ascii="Arial" w:hAnsi="Arial" w:cs="Arial"/>
          <w:sz w:val="22"/>
          <w:szCs w:val="22"/>
        </w:rPr>
      </w:pPr>
      <w:r w:rsidRPr="005C1A66">
        <w:rPr>
          <w:rFonts w:ascii="Arial" w:hAnsi="Arial" w:cs="Arial"/>
          <w:sz w:val="22"/>
          <w:szCs w:val="22"/>
        </w:rPr>
        <w:t>Prostredníctvom Spoločného strategického rámca sa pretransformujú tieto ciel</w:t>
      </w:r>
      <w:r w:rsidR="0041061B">
        <w:rPr>
          <w:rFonts w:ascii="Arial" w:hAnsi="Arial" w:cs="Arial"/>
          <w:sz w:val="22"/>
          <w:szCs w:val="22"/>
        </w:rPr>
        <w:t>e do kľúčových opatrení pre EFRR</w:t>
      </w:r>
      <w:r w:rsidRPr="005C1A66">
        <w:rPr>
          <w:rFonts w:ascii="Arial" w:hAnsi="Arial" w:cs="Arial"/>
          <w:sz w:val="22"/>
          <w:szCs w:val="22"/>
        </w:rPr>
        <w:t>, KF a ESF.</w:t>
      </w:r>
      <w:r w:rsidR="00F006E5">
        <w:rPr>
          <w:rFonts w:ascii="Arial" w:hAnsi="Arial" w:cs="Arial"/>
          <w:sz w:val="22"/>
          <w:szCs w:val="22"/>
        </w:rPr>
        <w:t xml:space="preserve"> Jednotlivé tematické ciele pozostávajú takisto z niekoľkých investičných priorít v závislosti od daného fondu. </w:t>
      </w:r>
    </w:p>
    <w:p w:rsidR="00F006E5" w:rsidRDefault="00F006E5" w:rsidP="003F1CB7">
      <w:pPr>
        <w:jc w:val="both"/>
        <w:rPr>
          <w:rFonts w:ascii="Arial" w:hAnsi="Arial" w:cs="Arial"/>
          <w:sz w:val="22"/>
          <w:szCs w:val="22"/>
        </w:rPr>
      </w:pPr>
    </w:p>
    <w:p w:rsidR="00F006E5" w:rsidRDefault="00F006E5" w:rsidP="003F1CB7">
      <w:pPr>
        <w:jc w:val="both"/>
        <w:rPr>
          <w:rFonts w:ascii="Arial" w:hAnsi="Arial" w:cs="Arial"/>
          <w:sz w:val="22"/>
          <w:szCs w:val="22"/>
        </w:rPr>
      </w:pPr>
    </w:p>
    <w:p w:rsidR="003F1CB7" w:rsidRDefault="003F1CB7" w:rsidP="003F1CB7">
      <w:pPr>
        <w:jc w:val="both"/>
        <w:rPr>
          <w:rFonts w:ascii="Arial" w:hAnsi="Arial" w:cs="Arial"/>
          <w:sz w:val="22"/>
          <w:szCs w:val="22"/>
        </w:rPr>
      </w:pPr>
    </w:p>
    <w:p w:rsidR="00F006E5" w:rsidRDefault="00F006E5" w:rsidP="003F1CB7">
      <w:pPr>
        <w:jc w:val="both"/>
        <w:rPr>
          <w:rFonts w:ascii="Arial" w:hAnsi="Arial" w:cs="Arial"/>
          <w:sz w:val="22"/>
          <w:szCs w:val="22"/>
        </w:rPr>
      </w:pPr>
    </w:p>
    <w:p w:rsidR="00F006E5" w:rsidRPr="005C1A66" w:rsidRDefault="00F006E5" w:rsidP="003F1CB7">
      <w:pPr>
        <w:jc w:val="both"/>
        <w:rPr>
          <w:rFonts w:ascii="Arial" w:hAnsi="Arial" w:cs="Arial"/>
          <w:sz w:val="22"/>
          <w:szCs w:val="22"/>
        </w:rPr>
      </w:pPr>
    </w:p>
    <w:p w:rsidR="003F1CB7" w:rsidRDefault="003F1CB7" w:rsidP="003F1CB7">
      <w:pPr>
        <w:jc w:val="both"/>
        <w:rPr>
          <w:rFonts w:ascii="Arial" w:hAnsi="Arial" w:cs="Arial"/>
          <w:b/>
          <w:i/>
          <w:iCs/>
          <w:sz w:val="22"/>
          <w:szCs w:val="22"/>
        </w:rPr>
      </w:pPr>
      <w:r>
        <w:rPr>
          <w:rFonts w:ascii="Arial" w:hAnsi="Arial" w:cs="Arial"/>
          <w:b/>
          <w:bCs/>
          <w:noProof/>
          <w:sz w:val="22"/>
          <w:szCs w:val="22"/>
        </w:rPr>
        <w:drawing>
          <wp:inline distT="0" distB="0" distL="0" distR="0" wp14:anchorId="3DCCF5AF" wp14:editId="7AFA0A12">
            <wp:extent cx="5972175" cy="3933825"/>
            <wp:effectExtent l="0" t="0" r="9525"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2175" cy="3933825"/>
                    </a:xfrm>
                    <a:prstGeom prst="rect">
                      <a:avLst/>
                    </a:prstGeom>
                    <a:noFill/>
                    <a:ln>
                      <a:noFill/>
                    </a:ln>
                  </pic:spPr>
                </pic:pic>
              </a:graphicData>
            </a:graphic>
          </wp:inline>
        </w:drawing>
      </w:r>
    </w:p>
    <w:p w:rsidR="003F1CB7" w:rsidRPr="00494CF6" w:rsidRDefault="003F1CB7" w:rsidP="003F1CB7">
      <w:pPr>
        <w:jc w:val="both"/>
        <w:rPr>
          <w:rFonts w:ascii="Arial" w:hAnsi="Arial" w:cs="Arial"/>
          <w:bCs/>
          <w:sz w:val="20"/>
          <w:szCs w:val="20"/>
        </w:rPr>
      </w:pPr>
      <w:r w:rsidRPr="00494CF6">
        <w:rPr>
          <w:rFonts w:ascii="Arial" w:hAnsi="Arial" w:cs="Arial"/>
          <w:bCs/>
          <w:sz w:val="20"/>
          <w:szCs w:val="20"/>
        </w:rPr>
        <w:t>Zdroj: Európska komisia</w:t>
      </w:r>
    </w:p>
    <w:p w:rsidR="003F1CB7" w:rsidRDefault="003F1CB7" w:rsidP="00AC30B3">
      <w:pPr>
        <w:pStyle w:val="Nadpis1"/>
        <w:keepNext/>
        <w:spacing w:before="0" w:beforeAutospacing="0" w:after="0" w:afterAutospacing="0"/>
        <w:jc w:val="both"/>
        <w:rPr>
          <w:rFonts w:ascii="Arial" w:hAnsi="Arial" w:cs="Arial"/>
          <w:bCs w:val="0"/>
          <w:kern w:val="0"/>
          <w:sz w:val="22"/>
          <w:szCs w:val="22"/>
        </w:rPr>
      </w:pPr>
      <w:bookmarkStart w:id="1" w:name="_Toc351449414"/>
    </w:p>
    <w:p w:rsidR="003F1CB7" w:rsidRDefault="003F1CB7" w:rsidP="00AC30B3">
      <w:pPr>
        <w:pStyle w:val="Nadpis1"/>
        <w:keepNext/>
        <w:spacing w:before="0" w:beforeAutospacing="0" w:after="0" w:afterAutospacing="0"/>
        <w:jc w:val="both"/>
        <w:rPr>
          <w:rFonts w:ascii="Arial" w:hAnsi="Arial" w:cs="Arial"/>
          <w:kern w:val="0"/>
          <w:sz w:val="22"/>
          <w:szCs w:val="22"/>
        </w:rPr>
      </w:pPr>
    </w:p>
    <w:p w:rsidR="00F006E5" w:rsidRDefault="00F006E5" w:rsidP="00AC30B3">
      <w:pPr>
        <w:pStyle w:val="Nadpis1"/>
        <w:keepNext/>
        <w:spacing w:before="0" w:beforeAutospacing="0" w:after="0" w:afterAutospacing="0"/>
        <w:jc w:val="both"/>
        <w:rPr>
          <w:rFonts w:ascii="Arial" w:hAnsi="Arial" w:cs="Arial"/>
          <w:kern w:val="0"/>
          <w:sz w:val="22"/>
          <w:szCs w:val="22"/>
        </w:rPr>
      </w:pPr>
    </w:p>
    <w:p w:rsidR="00F006E5" w:rsidRDefault="00F006E5" w:rsidP="00AC30B3">
      <w:pPr>
        <w:pStyle w:val="Nadpis1"/>
        <w:keepNext/>
        <w:spacing w:before="0" w:beforeAutospacing="0" w:after="0" w:afterAutospacing="0"/>
        <w:jc w:val="both"/>
        <w:rPr>
          <w:rFonts w:ascii="Arial" w:hAnsi="Arial" w:cs="Arial"/>
          <w:kern w:val="0"/>
          <w:sz w:val="22"/>
          <w:szCs w:val="22"/>
        </w:rPr>
        <w:sectPr w:rsidR="00F006E5" w:rsidSect="00EB4964">
          <w:footerReference w:type="even" r:id="rId11"/>
          <w:footerReference w:type="default" r:id="rId12"/>
          <w:footerReference w:type="first" r:id="rId13"/>
          <w:pgSz w:w="12240" w:h="15840"/>
          <w:pgMar w:top="851" w:right="1417" w:bottom="1135" w:left="1417" w:header="708" w:footer="708" w:gutter="0"/>
          <w:pgNumType w:start="1"/>
          <w:cols w:space="708"/>
          <w:titlePg/>
          <w:docGrid w:linePitch="326"/>
        </w:sectPr>
      </w:pPr>
    </w:p>
    <w:p w:rsidR="00F006E5" w:rsidRPr="006F02D9" w:rsidRDefault="00F006E5" w:rsidP="00F006E5">
      <w:pPr>
        <w:jc w:val="both"/>
        <w:rPr>
          <w:rFonts w:ascii="Arial" w:hAnsi="Arial" w:cs="Arial"/>
          <w:b/>
          <w:iCs/>
          <w:sz w:val="22"/>
          <w:szCs w:val="22"/>
        </w:rPr>
      </w:pPr>
      <w:r w:rsidRPr="006F02D9">
        <w:rPr>
          <w:rFonts w:ascii="Arial" w:hAnsi="Arial" w:cs="Arial"/>
          <w:b/>
          <w:iCs/>
          <w:sz w:val="22"/>
          <w:szCs w:val="22"/>
        </w:rPr>
        <w:lastRenderedPageBreak/>
        <w:t>Tematická koncentrácia</w:t>
      </w:r>
    </w:p>
    <w:p w:rsidR="00F006E5" w:rsidRDefault="00F006E5" w:rsidP="00F006E5">
      <w:pPr>
        <w:jc w:val="both"/>
        <w:rPr>
          <w:rFonts w:ascii="Arial" w:hAnsi="Arial" w:cs="Arial"/>
          <w:b/>
          <w:i/>
          <w:iCs/>
          <w:sz w:val="22"/>
          <w:szCs w:val="22"/>
        </w:rPr>
      </w:pPr>
    </w:p>
    <w:p w:rsidR="00F006E5" w:rsidRPr="00B33362" w:rsidRDefault="00F006E5" w:rsidP="00F006E5">
      <w:pPr>
        <w:jc w:val="both"/>
        <w:rPr>
          <w:rFonts w:ascii="Arial" w:hAnsi="Arial" w:cs="Arial"/>
          <w:b/>
          <w:i/>
          <w:iCs/>
          <w:sz w:val="22"/>
          <w:szCs w:val="22"/>
        </w:rPr>
      </w:pPr>
      <w:r w:rsidRPr="00B33362">
        <w:rPr>
          <w:rFonts w:ascii="Arial" w:hAnsi="Arial" w:cs="Arial"/>
          <w:b/>
          <w:i/>
          <w:iCs/>
          <w:sz w:val="22"/>
          <w:szCs w:val="22"/>
        </w:rPr>
        <w:t>Štrukturálne fondy EÚ (EFRR a ESF):</w:t>
      </w:r>
    </w:p>
    <w:p w:rsidR="00F006E5" w:rsidRPr="00B33362" w:rsidRDefault="00F006E5" w:rsidP="00F006E5">
      <w:pPr>
        <w:jc w:val="both"/>
        <w:rPr>
          <w:rFonts w:ascii="Arial" w:hAnsi="Arial" w:cs="Arial"/>
          <w:b/>
          <w:sz w:val="22"/>
          <w:szCs w:val="22"/>
        </w:rPr>
      </w:pPr>
      <w:r w:rsidRPr="00B33362">
        <w:rPr>
          <w:rFonts w:ascii="Arial" w:hAnsi="Arial" w:cs="Arial"/>
          <w:b/>
          <w:sz w:val="22"/>
          <w:szCs w:val="22"/>
        </w:rPr>
        <w:t xml:space="preserve">Na tematické ciele 8 až 10 je potrebné pri viac rozvinutých regiónoch </w:t>
      </w:r>
      <w:r>
        <w:rPr>
          <w:rFonts w:ascii="Arial" w:hAnsi="Arial" w:cs="Arial"/>
          <w:b/>
          <w:sz w:val="22"/>
          <w:szCs w:val="22"/>
        </w:rPr>
        <w:t xml:space="preserve">(BSK) </w:t>
      </w:r>
      <w:r w:rsidRPr="00B33362">
        <w:rPr>
          <w:rFonts w:ascii="Arial" w:hAnsi="Arial" w:cs="Arial"/>
          <w:b/>
          <w:sz w:val="22"/>
          <w:szCs w:val="22"/>
        </w:rPr>
        <w:t>vyčleniť medzi  50 % zdrojov zo štrukturálnych fondov EÚ.</w:t>
      </w:r>
    </w:p>
    <w:p w:rsidR="00F006E5" w:rsidRPr="00B33362" w:rsidRDefault="00F006E5" w:rsidP="00F006E5">
      <w:pPr>
        <w:jc w:val="both"/>
        <w:rPr>
          <w:rFonts w:ascii="Arial" w:hAnsi="Arial" w:cs="Arial"/>
          <w:b/>
          <w:sz w:val="22"/>
          <w:szCs w:val="22"/>
        </w:rPr>
      </w:pPr>
    </w:p>
    <w:p w:rsidR="00F006E5" w:rsidRDefault="00F006E5" w:rsidP="00F006E5">
      <w:pPr>
        <w:numPr>
          <w:ilvl w:val="0"/>
          <w:numId w:val="6"/>
        </w:numPr>
        <w:ind w:left="0" w:firstLine="0"/>
        <w:jc w:val="both"/>
        <w:rPr>
          <w:rFonts w:ascii="Arial" w:hAnsi="Arial" w:cs="Arial"/>
          <w:b/>
          <w:bCs/>
          <w:sz w:val="22"/>
          <w:szCs w:val="22"/>
          <w:lang w:eastAsia="en-US"/>
        </w:rPr>
      </w:pPr>
      <w:r w:rsidRPr="005C1A66">
        <w:rPr>
          <w:rFonts w:ascii="Arial" w:hAnsi="Arial" w:cs="Arial"/>
          <w:b/>
          <w:bCs/>
          <w:sz w:val="22"/>
          <w:szCs w:val="22"/>
        </w:rPr>
        <w:t>Európsky fond regionálneho rozvoja (EFRR)</w:t>
      </w:r>
    </w:p>
    <w:p w:rsidR="00F006E5" w:rsidRPr="005C1A66" w:rsidRDefault="00F006E5" w:rsidP="00F006E5">
      <w:pPr>
        <w:jc w:val="both"/>
        <w:rPr>
          <w:rFonts w:ascii="Arial" w:hAnsi="Arial" w:cs="Arial"/>
          <w:b/>
          <w:bCs/>
          <w:sz w:val="22"/>
          <w:szCs w:val="22"/>
          <w:lang w:eastAsia="en-US"/>
        </w:rPr>
      </w:pPr>
    </w:p>
    <w:p w:rsidR="00F006E5" w:rsidRPr="005C1A66" w:rsidRDefault="00F006E5" w:rsidP="00F006E5">
      <w:pPr>
        <w:jc w:val="both"/>
        <w:rPr>
          <w:rFonts w:ascii="Arial" w:hAnsi="Arial" w:cs="Arial"/>
          <w:sz w:val="22"/>
          <w:szCs w:val="22"/>
        </w:rPr>
      </w:pPr>
      <w:r w:rsidRPr="005C1A66">
        <w:rPr>
          <w:rFonts w:ascii="Arial" w:hAnsi="Arial" w:cs="Arial"/>
          <w:sz w:val="22"/>
          <w:szCs w:val="22"/>
        </w:rPr>
        <w:t>Mechanizmus tematickej koncentrácie je nastavený pre jednotlivé kategórie regiónov</w:t>
      </w:r>
      <w:r w:rsidRPr="005C1A66">
        <w:rPr>
          <w:rFonts w:ascii="Arial" w:hAnsi="Arial" w:cs="Arial"/>
          <w:sz w:val="22"/>
          <w:szCs w:val="22"/>
        </w:rPr>
        <w:br/>
        <w:t xml:space="preserve">a na úrovni tematických cieľov. Do mechanizmu koncentrácie sa započítavajú tematické ciele 1, 2, 3 a 4. </w:t>
      </w:r>
      <w:r w:rsidRPr="0029034B">
        <w:rPr>
          <w:rFonts w:ascii="Arial" w:hAnsi="Arial" w:cs="Arial"/>
          <w:b/>
          <w:sz w:val="22"/>
          <w:szCs w:val="22"/>
        </w:rPr>
        <w:t>Pre viac rozvinuté regióny</w:t>
      </w:r>
      <w:r>
        <w:rPr>
          <w:rFonts w:ascii="Arial" w:hAnsi="Arial" w:cs="Arial"/>
          <w:b/>
          <w:sz w:val="22"/>
          <w:szCs w:val="22"/>
        </w:rPr>
        <w:t xml:space="preserve"> (BSK)</w:t>
      </w:r>
      <w:r w:rsidRPr="0029034B">
        <w:rPr>
          <w:rFonts w:ascii="Arial" w:hAnsi="Arial" w:cs="Arial"/>
          <w:b/>
          <w:sz w:val="22"/>
          <w:szCs w:val="22"/>
        </w:rPr>
        <w:t xml:space="preserve"> je potrebné vyčleniť aspoň 80 % zdrojov na aspoň jeden z uvedených tematických cieľov</w:t>
      </w:r>
      <w:r w:rsidRPr="005C1A66">
        <w:rPr>
          <w:rFonts w:ascii="Arial" w:hAnsi="Arial" w:cs="Arial"/>
          <w:sz w:val="22"/>
          <w:szCs w:val="22"/>
        </w:rPr>
        <w:t xml:space="preserve">, pričom na tematický cieľ 4 je nevyhnutné vyčleniť minimálne 20 % zdrojov EFRR na národnej úrovni. </w:t>
      </w:r>
    </w:p>
    <w:p w:rsidR="00F006E5" w:rsidRPr="005C1A66" w:rsidRDefault="00F006E5" w:rsidP="00F006E5">
      <w:pPr>
        <w:jc w:val="both"/>
        <w:rPr>
          <w:rFonts w:ascii="Arial" w:hAnsi="Arial" w:cs="Arial"/>
          <w:sz w:val="22"/>
          <w:szCs w:val="22"/>
        </w:rPr>
      </w:pPr>
    </w:p>
    <w:p w:rsidR="00F006E5" w:rsidRPr="005C1A66" w:rsidRDefault="00F006E5" w:rsidP="00F006E5">
      <w:pPr>
        <w:jc w:val="both"/>
        <w:rPr>
          <w:rFonts w:ascii="Arial" w:hAnsi="Arial" w:cs="Arial"/>
          <w:sz w:val="22"/>
          <w:szCs w:val="22"/>
        </w:rPr>
      </w:pPr>
      <w:r w:rsidRPr="005C1A66">
        <w:rPr>
          <w:rFonts w:ascii="Arial" w:hAnsi="Arial" w:cs="Arial"/>
          <w:sz w:val="22"/>
          <w:szCs w:val="22"/>
        </w:rPr>
        <w:t xml:space="preserve">Tieto podiely je možné kombinovať aj na úrovni kategórie regiónov, čo znamená ich proporčné zvýšenie alebo zníženie tak, aby celkový podiel na národnej úrovni zostal nezmenený. Pokiaľ sa teda u jednej kategórie regiónu z celkového podielu uberie, u ďalšej  sa musí rovnakou mierou pridať. </w:t>
      </w:r>
      <w:r w:rsidRPr="00B33362">
        <w:rPr>
          <w:rFonts w:ascii="Arial" w:hAnsi="Arial" w:cs="Arial"/>
          <w:b/>
          <w:sz w:val="22"/>
          <w:szCs w:val="22"/>
        </w:rPr>
        <w:t>Takto stanovenú flexibilitu je možné využiť v prípade Bratislavského samosprávneho kraja, ktorý ako jediný kraj zo Slovenska bol z dôvodu silného hospodárskeho postavenia mesta Bratislava a jeho bezprostredného okolia zaradený medzi viac rozvinuté regióny.</w:t>
      </w:r>
      <w:r w:rsidRPr="005C1A66">
        <w:rPr>
          <w:rFonts w:ascii="Arial" w:hAnsi="Arial" w:cs="Arial"/>
          <w:sz w:val="22"/>
          <w:szCs w:val="22"/>
        </w:rPr>
        <w:t xml:space="preserve"> Zároveň však v rámci kraja naďalej prevládajú výrazné vnútroregionálne rozdiely. To znamená, že percentuálnu mieru koncentrácie pre BSK je možné znížiť pri zachovaní celkového podielu na národnej úrovni.    </w:t>
      </w:r>
    </w:p>
    <w:p w:rsidR="00F006E5" w:rsidRPr="005C1A66" w:rsidRDefault="00F006E5" w:rsidP="00F006E5">
      <w:pPr>
        <w:jc w:val="both"/>
        <w:rPr>
          <w:rFonts w:ascii="Arial" w:hAnsi="Arial" w:cs="Arial"/>
          <w:sz w:val="22"/>
          <w:szCs w:val="22"/>
        </w:rPr>
      </w:pPr>
    </w:p>
    <w:p w:rsidR="00F006E5" w:rsidRPr="005C1A66" w:rsidRDefault="00F006E5" w:rsidP="00F006E5">
      <w:pPr>
        <w:jc w:val="both"/>
        <w:rPr>
          <w:rFonts w:ascii="Arial" w:hAnsi="Arial" w:cs="Arial"/>
          <w:sz w:val="22"/>
          <w:szCs w:val="22"/>
        </w:rPr>
      </w:pPr>
      <w:r w:rsidRPr="005C1A66">
        <w:rPr>
          <w:rFonts w:ascii="Arial" w:hAnsi="Arial" w:cs="Arial"/>
          <w:sz w:val="22"/>
          <w:szCs w:val="22"/>
        </w:rPr>
        <w:t>Súčasne platí, že hoci sa do mechanizmu koncentrácie započítavajú štyri tematické ciele, povinnosť alokácie je viazaná iba na cieľ 4. Financovanie časti operácie medzi EFRR a ESF môže byť vyčlenené najviac do výšky 10 % prostriedkov vyčlenených pre každú prioritnú os OP.</w:t>
      </w:r>
    </w:p>
    <w:p w:rsidR="00F006E5" w:rsidRPr="005C1A66" w:rsidRDefault="00F006E5" w:rsidP="00F006E5">
      <w:pPr>
        <w:jc w:val="both"/>
        <w:rPr>
          <w:rFonts w:ascii="Arial" w:hAnsi="Arial" w:cs="Arial"/>
          <w:sz w:val="22"/>
          <w:szCs w:val="22"/>
        </w:rPr>
      </w:pPr>
    </w:p>
    <w:p w:rsidR="00F006E5" w:rsidRDefault="00F006E5" w:rsidP="00F006E5">
      <w:pPr>
        <w:jc w:val="both"/>
        <w:rPr>
          <w:rFonts w:ascii="Arial" w:hAnsi="Arial" w:cs="Arial"/>
          <w:sz w:val="22"/>
          <w:szCs w:val="22"/>
        </w:rPr>
      </w:pPr>
      <w:r w:rsidRPr="005C1A66">
        <w:rPr>
          <w:rFonts w:ascii="Arial" w:hAnsi="Arial" w:cs="Arial"/>
          <w:sz w:val="22"/>
          <w:szCs w:val="22"/>
        </w:rPr>
        <w:t xml:space="preserve">Taktiež sa definuje minimálna úroveň pre implementáciu a riadenie OP, a to úroveň NUTS 2  v súlade s inštitucionálnym systémom, ktorý je špecifický pre daný ČŠ, ak nie je medzi EK </w:t>
      </w:r>
      <w:r w:rsidRPr="00D75266">
        <w:rPr>
          <w:rFonts w:ascii="Arial" w:hAnsi="Arial" w:cs="Arial"/>
          <w:sz w:val="22"/>
          <w:szCs w:val="22"/>
        </w:rPr>
        <w:t xml:space="preserve">a ČŠ dohodnuté inak.  </w:t>
      </w:r>
    </w:p>
    <w:p w:rsidR="00F006E5" w:rsidRPr="00D75266" w:rsidRDefault="00F006E5" w:rsidP="00F006E5">
      <w:pPr>
        <w:jc w:val="both"/>
        <w:rPr>
          <w:rFonts w:ascii="Arial" w:hAnsi="Arial" w:cs="Arial"/>
          <w:sz w:val="22"/>
          <w:szCs w:val="22"/>
        </w:rPr>
      </w:pPr>
    </w:p>
    <w:p w:rsidR="00F006E5" w:rsidRDefault="00F006E5" w:rsidP="008F2715">
      <w:pPr>
        <w:jc w:val="both"/>
        <w:rPr>
          <w:rFonts w:ascii="Arial" w:hAnsi="Arial" w:cs="Arial"/>
          <w:sz w:val="22"/>
          <w:szCs w:val="22"/>
        </w:rPr>
      </w:pPr>
      <w:r w:rsidRPr="00D75266">
        <w:rPr>
          <w:rFonts w:ascii="Arial" w:hAnsi="Arial" w:cs="Arial"/>
          <w:b/>
          <w:bCs/>
          <w:sz w:val="22"/>
          <w:szCs w:val="22"/>
        </w:rPr>
        <w:t>Podiel tematickej koncentrácie však môže byť ovplyvnený na národnej úrovni</w:t>
      </w:r>
      <w:r w:rsidRPr="00D75266">
        <w:rPr>
          <w:rFonts w:ascii="Arial" w:hAnsi="Arial" w:cs="Arial"/>
          <w:sz w:val="22"/>
          <w:szCs w:val="22"/>
        </w:rPr>
        <w:t xml:space="preserve"> – Tematická koncentrácia 80% na tematické ciele 1 až 4 pre jednu kategóriu regiónov môže byť znížená, ak sa zachová absolútna suma na národnej úrovni. V praxi to znamená</w:t>
      </w:r>
      <w:r w:rsidR="008F2715">
        <w:rPr>
          <w:rFonts w:ascii="Arial" w:hAnsi="Arial" w:cs="Arial"/>
          <w:sz w:val="22"/>
          <w:szCs w:val="22"/>
        </w:rPr>
        <w:t>,</w:t>
      </w:r>
      <w:r w:rsidRPr="00D75266">
        <w:rPr>
          <w:rFonts w:ascii="Arial" w:hAnsi="Arial" w:cs="Arial"/>
          <w:sz w:val="22"/>
          <w:szCs w:val="22"/>
        </w:rPr>
        <w:t xml:space="preserve"> že </w:t>
      </w:r>
      <w:r w:rsidRPr="00D75266">
        <w:rPr>
          <w:rFonts w:ascii="Arial" w:hAnsi="Arial" w:cs="Arial"/>
          <w:b/>
          <w:bCs/>
          <w:sz w:val="22"/>
          <w:szCs w:val="22"/>
        </w:rPr>
        <w:t>v BSK nemusí byť až 80% alokácie do prvých 4 tematických cieľov, ak v ostatných regiónoch prekročia ich povinnú tematickú koncentráciu.</w:t>
      </w:r>
      <w:r w:rsidRPr="00D75266">
        <w:rPr>
          <w:rFonts w:ascii="Arial" w:hAnsi="Arial" w:cs="Arial"/>
          <w:sz w:val="22"/>
          <w:szCs w:val="22"/>
        </w:rPr>
        <w:t xml:space="preserve">  </w:t>
      </w:r>
    </w:p>
    <w:p w:rsidR="00F006E5" w:rsidRPr="00D75266" w:rsidRDefault="00F006E5" w:rsidP="00F006E5">
      <w:pPr>
        <w:rPr>
          <w:rFonts w:ascii="Arial" w:hAnsi="Arial" w:cs="Arial"/>
          <w:sz w:val="22"/>
          <w:szCs w:val="22"/>
        </w:rPr>
      </w:pPr>
      <w:r w:rsidRPr="00D75266">
        <w:rPr>
          <w:rFonts w:ascii="Arial" w:hAnsi="Arial" w:cs="Arial"/>
          <w:sz w:val="22"/>
          <w:szCs w:val="22"/>
        </w:rPr>
        <w:t xml:space="preserve">          </w:t>
      </w:r>
    </w:p>
    <w:p w:rsidR="00F006E5" w:rsidRPr="005C1A66" w:rsidRDefault="00F006E5" w:rsidP="00F006E5">
      <w:pPr>
        <w:jc w:val="center"/>
        <w:rPr>
          <w:rFonts w:ascii="Arial" w:hAnsi="Arial" w:cs="Arial"/>
          <w:sz w:val="22"/>
          <w:szCs w:val="22"/>
          <w:lang w:eastAsia="en-US"/>
        </w:rPr>
      </w:pPr>
      <w:r>
        <w:rPr>
          <w:rFonts w:ascii="Arial" w:hAnsi="Arial" w:cs="Arial"/>
          <w:b/>
          <w:bCs/>
          <w:noProof/>
          <w:sz w:val="22"/>
          <w:szCs w:val="22"/>
        </w:rPr>
        <w:lastRenderedPageBreak/>
        <w:drawing>
          <wp:inline distT="0" distB="0" distL="0" distR="0" wp14:anchorId="20F7C277" wp14:editId="5BEC1E0E">
            <wp:extent cx="5408216" cy="3562350"/>
            <wp:effectExtent l="0" t="0" r="254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9143" cy="3562960"/>
                    </a:xfrm>
                    <a:prstGeom prst="rect">
                      <a:avLst/>
                    </a:prstGeom>
                    <a:noFill/>
                    <a:ln>
                      <a:noFill/>
                    </a:ln>
                  </pic:spPr>
                </pic:pic>
              </a:graphicData>
            </a:graphic>
          </wp:inline>
        </w:drawing>
      </w:r>
    </w:p>
    <w:p w:rsidR="00F006E5" w:rsidRPr="00494CF6" w:rsidRDefault="00F006E5" w:rsidP="00F006E5">
      <w:pPr>
        <w:ind w:firstLine="708"/>
        <w:jc w:val="both"/>
        <w:rPr>
          <w:rFonts w:ascii="Arial" w:hAnsi="Arial" w:cs="Arial"/>
          <w:bCs/>
          <w:sz w:val="20"/>
          <w:szCs w:val="20"/>
        </w:rPr>
      </w:pPr>
      <w:r w:rsidRPr="00494CF6">
        <w:rPr>
          <w:rFonts w:ascii="Arial" w:hAnsi="Arial" w:cs="Arial"/>
          <w:bCs/>
          <w:sz w:val="20"/>
          <w:szCs w:val="20"/>
        </w:rPr>
        <w:t>Zdroj: Európska komisia</w:t>
      </w:r>
    </w:p>
    <w:p w:rsidR="00F006E5" w:rsidRDefault="00F006E5" w:rsidP="00F006E5">
      <w:pPr>
        <w:jc w:val="both"/>
        <w:rPr>
          <w:rFonts w:ascii="Arial" w:hAnsi="Arial" w:cs="Arial"/>
          <w:b/>
          <w:bCs/>
          <w:sz w:val="22"/>
          <w:szCs w:val="22"/>
        </w:rPr>
      </w:pPr>
    </w:p>
    <w:p w:rsidR="00F006E5" w:rsidRDefault="00F006E5" w:rsidP="00F006E5">
      <w:pPr>
        <w:jc w:val="both"/>
        <w:rPr>
          <w:rFonts w:ascii="Arial" w:hAnsi="Arial" w:cs="Arial"/>
          <w:b/>
          <w:bCs/>
          <w:sz w:val="22"/>
          <w:szCs w:val="22"/>
        </w:rPr>
      </w:pPr>
      <w:r>
        <w:rPr>
          <w:rFonts w:ascii="Arial" w:hAnsi="Arial" w:cs="Arial"/>
          <w:b/>
          <w:bCs/>
          <w:sz w:val="22"/>
          <w:szCs w:val="22"/>
        </w:rPr>
        <w:t xml:space="preserve">V poslednom návrhu o EFRR </w:t>
      </w:r>
      <w:r w:rsidR="008F2715">
        <w:rPr>
          <w:rFonts w:ascii="Arial" w:hAnsi="Arial" w:cs="Arial"/>
          <w:b/>
          <w:bCs/>
          <w:sz w:val="22"/>
          <w:szCs w:val="22"/>
        </w:rPr>
        <w:t>je potrebné</w:t>
      </w:r>
      <w:r>
        <w:rPr>
          <w:rFonts w:ascii="Arial" w:hAnsi="Arial" w:cs="Arial"/>
          <w:b/>
          <w:bCs/>
          <w:sz w:val="22"/>
          <w:szCs w:val="22"/>
        </w:rPr>
        <w:t xml:space="preserve"> pre rozvinuté regióny v rámci 60% zahrnúť aj investície do informačných a komunikačných technológií (IKT)</w:t>
      </w:r>
      <w:r w:rsidR="008F2715">
        <w:rPr>
          <w:rFonts w:ascii="Arial" w:hAnsi="Arial" w:cs="Arial"/>
          <w:b/>
          <w:bCs/>
          <w:sz w:val="22"/>
          <w:szCs w:val="22"/>
        </w:rPr>
        <w:t>.</w:t>
      </w:r>
      <w:r>
        <w:rPr>
          <w:rFonts w:ascii="Arial" w:hAnsi="Arial" w:cs="Arial"/>
          <w:b/>
          <w:bCs/>
          <w:sz w:val="22"/>
          <w:szCs w:val="22"/>
        </w:rPr>
        <w:t xml:space="preserve"> </w:t>
      </w:r>
    </w:p>
    <w:p w:rsidR="00F006E5" w:rsidRDefault="00F006E5" w:rsidP="00F006E5">
      <w:pPr>
        <w:jc w:val="both"/>
        <w:rPr>
          <w:rFonts w:ascii="Arial" w:hAnsi="Arial" w:cs="Arial"/>
          <w:b/>
          <w:bCs/>
          <w:sz w:val="22"/>
          <w:szCs w:val="22"/>
        </w:rPr>
      </w:pPr>
    </w:p>
    <w:p w:rsidR="00F006E5" w:rsidRDefault="00F006E5" w:rsidP="00F006E5">
      <w:pPr>
        <w:jc w:val="both"/>
        <w:rPr>
          <w:rFonts w:ascii="Arial" w:hAnsi="Arial" w:cs="Arial"/>
          <w:b/>
          <w:bCs/>
          <w:sz w:val="22"/>
          <w:szCs w:val="22"/>
        </w:rPr>
      </w:pPr>
    </w:p>
    <w:p w:rsidR="00F006E5" w:rsidRDefault="00F006E5" w:rsidP="00F006E5">
      <w:pPr>
        <w:numPr>
          <w:ilvl w:val="0"/>
          <w:numId w:val="6"/>
        </w:numPr>
        <w:ind w:left="0" w:firstLine="0"/>
        <w:jc w:val="both"/>
        <w:rPr>
          <w:rFonts w:ascii="Arial" w:hAnsi="Arial" w:cs="Arial"/>
          <w:b/>
          <w:bCs/>
          <w:sz w:val="22"/>
          <w:szCs w:val="22"/>
        </w:rPr>
      </w:pPr>
      <w:r w:rsidRPr="005C1A66">
        <w:rPr>
          <w:rFonts w:ascii="Arial" w:hAnsi="Arial" w:cs="Arial"/>
          <w:b/>
          <w:bCs/>
          <w:sz w:val="22"/>
          <w:szCs w:val="22"/>
        </w:rPr>
        <w:t>Európsky sociálny fond (ESF)</w:t>
      </w:r>
    </w:p>
    <w:p w:rsidR="00F006E5" w:rsidRPr="005C1A66" w:rsidRDefault="00F006E5" w:rsidP="00F006E5">
      <w:pPr>
        <w:jc w:val="both"/>
        <w:rPr>
          <w:rFonts w:ascii="Arial" w:hAnsi="Arial" w:cs="Arial"/>
          <w:b/>
          <w:bCs/>
          <w:sz w:val="22"/>
          <w:szCs w:val="22"/>
        </w:rPr>
      </w:pPr>
    </w:p>
    <w:p w:rsidR="00F006E5" w:rsidRPr="005C1A66" w:rsidRDefault="00F006E5" w:rsidP="00F006E5">
      <w:pPr>
        <w:jc w:val="both"/>
        <w:rPr>
          <w:rFonts w:ascii="Arial" w:hAnsi="Arial" w:cs="Arial"/>
          <w:sz w:val="22"/>
          <w:szCs w:val="22"/>
        </w:rPr>
      </w:pPr>
      <w:r w:rsidRPr="005C1A66">
        <w:rPr>
          <w:rFonts w:ascii="Arial" w:hAnsi="Arial" w:cs="Arial"/>
          <w:sz w:val="22"/>
          <w:szCs w:val="22"/>
        </w:rPr>
        <w:t xml:space="preserve">Mechanizmus tematickej koncentrácie je nastavený pre jednotlivé kategórie regiónov na úrovni investičných priorít. To znamená, že </w:t>
      </w:r>
      <w:r w:rsidRPr="0029034B">
        <w:rPr>
          <w:rFonts w:ascii="Arial" w:hAnsi="Arial" w:cs="Arial"/>
          <w:b/>
          <w:sz w:val="22"/>
          <w:szCs w:val="22"/>
        </w:rPr>
        <w:t xml:space="preserve">pri viac rozvinutých regiónoch </w:t>
      </w:r>
      <w:r>
        <w:rPr>
          <w:rFonts w:ascii="Arial" w:hAnsi="Arial" w:cs="Arial"/>
          <w:b/>
          <w:sz w:val="22"/>
          <w:szCs w:val="22"/>
        </w:rPr>
        <w:t xml:space="preserve">(BSK) </w:t>
      </w:r>
      <w:r w:rsidRPr="0029034B">
        <w:rPr>
          <w:rFonts w:ascii="Arial" w:hAnsi="Arial" w:cs="Arial"/>
          <w:b/>
          <w:sz w:val="22"/>
          <w:szCs w:val="22"/>
        </w:rPr>
        <w:t>je potrebné sústrediť aspoň 80 % zdrojov ESF každého OP na maximálne štyri investičné priority</w:t>
      </w:r>
      <w:r w:rsidRPr="005C1A66">
        <w:rPr>
          <w:rFonts w:ascii="Arial" w:hAnsi="Arial" w:cs="Arial"/>
          <w:sz w:val="22"/>
          <w:szCs w:val="22"/>
        </w:rPr>
        <w:t xml:space="preserve"> a pri menej rozvinutých regiónoch je to aspoň  60 % zdrojov ESF každého OP na rovnaký počet priorít. V prípade, že OP pokrýva celé územie členského štátu EÚ</w:t>
      </w:r>
      <w:r w:rsidR="008F2715">
        <w:rPr>
          <w:rFonts w:ascii="Arial" w:hAnsi="Arial" w:cs="Arial"/>
          <w:sz w:val="22"/>
          <w:szCs w:val="22"/>
        </w:rPr>
        <w:t>,</w:t>
      </w:r>
      <w:r w:rsidRPr="005C1A66">
        <w:rPr>
          <w:rFonts w:ascii="Arial" w:hAnsi="Arial" w:cs="Arial"/>
          <w:sz w:val="22"/>
          <w:szCs w:val="22"/>
        </w:rPr>
        <w:t xml:space="preserve"> je možné stanoviť 5 investičných priorít. </w:t>
      </w:r>
    </w:p>
    <w:p w:rsidR="00F006E5" w:rsidRPr="005C1A66" w:rsidRDefault="00F006E5" w:rsidP="00F006E5">
      <w:pPr>
        <w:jc w:val="both"/>
        <w:rPr>
          <w:rFonts w:ascii="Arial" w:hAnsi="Arial" w:cs="Arial"/>
          <w:sz w:val="22"/>
          <w:szCs w:val="22"/>
        </w:rPr>
      </w:pPr>
      <w:r w:rsidRPr="005C1A66">
        <w:rPr>
          <w:rFonts w:ascii="Arial" w:hAnsi="Arial" w:cs="Arial"/>
          <w:sz w:val="22"/>
          <w:szCs w:val="22"/>
        </w:rPr>
        <w:t>Zároveň na tematický cieľ 9 je potrebné vyčleniť aspoň 20 % zdrojov ESF na národnej úrovni, pričom na dosiahnutie tohto podielu je možné využiť aj zdroje EFRR.</w:t>
      </w:r>
    </w:p>
    <w:p w:rsidR="00F006E5" w:rsidRPr="005C1A66" w:rsidRDefault="00F006E5" w:rsidP="00F006E5">
      <w:pPr>
        <w:jc w:val="both"/>
        <w:rPr>
          <w:rFonts w:ascii="Arial" w:hAnsi="Arial" w:cs="Arial"/>
          <w:sz w:val="22"/>
          <w:szCs w:val="22"/>
        </w:rPr>
      </w:pPr>
    </w:p>
    <w:p w:rsidR="00F006E5" w:rsidRPr="00AD4CD8" w:rsidRDefault="00F006E5" w:rsidP="00F006E5">
      <w:pPr>
        <w:jc w:val="both"/>
        <w:rPr>
          <w:rFonts w:ascii="Arial" w:hAnsi="Arial" w:cs="Arial"/>
          <w:sz w:val="22"/>
          <w:szCs w:val="22"/>
        </w:rPr>
      </w:pPr>
      <w:r w:rsidRPr="005C1A66">
        <w:rPr>
          <w:rFonts w:ascii="Arial" w:hAnsi="Arial" w:cs="Arial"/>
          <w:sz w:val="22"/>
          <w:szCs w:val="22"/>
        </w:rPr>
        <w:t>Spoločným menovateľom fungovania mechanizmu tematickej koncentrácie pri štrukturálnych fondoch je jeho orientácia na dosiahnutie určeného stanoveného cieľa. Takto orientovaný mechanizmus tematickej koncentrácie umožňuje flexibilné plnenie z pohľadu zvoleného typu fondu alebo fondov. Vo výsledku je rozhodujúce, či bol splnený kvantitatívne stanovený cieľ a nie ktorý z fondov bol na jeho dosiahnutie použitý. Tento prístup je uplatnený v prípade sp</w:t>
      </w:r>
      <w:r>
        <w:rPr>
          <w:rFonts w:ascii="Arial" w:hAnsi="Arial" w:cs="Arial"/>
          <w:sz w:val="22"/>
          <w:szCs w:val="22"/>
        </w:rPr>
        <w:t>lnenia tematického cieľa 4 a 9.</w:t>
      </w:r>
    </w:p>
    <w:p w:rsidR="00F006E5" w:rsidRPr="00494CF6" w:rsidRDefault="00F006E5" w:rsidP="00F006E5">
      <w:pPr>
        <w:rPr>
          <w:rFonts w:ascii="Arial" w:hAnsi="Arial" w:cs="Arial"/>
          <w:b/>
          <w:bCs/>
          <w:sz w:val="22"/>
          <w:szCs w:val="22"/>
          <w:lang w:val="en-US"/>
        </w:rPr>
      </w:pPr>
    </w:p>
    <w:p w:rsidR="00F006E5" w:rsidRDefault="00F006E5" w:rsidP="00F006E5">
      <w:pPr>
        <w:rPr>
          <w:rFonts w:ascii="Arial" w:hAnsi="Arial" w:cs="Arial"/>
          <w:b/>
          <w:bCs/>
          <w:sz w:val="22"/>
          <w:szCs w:val="22"/>
        </w:rPr>
      </w:pPr>
    </w:p>
    <w:p w:rsidR="00F006E5" w:rsidRPr="00494CF6" w:rsidRDefault="00F006E5" w:rsidP="00F006E5">
      <w:pPr>
        <w:rPr>
          <w:rFonts w:ascii="Arial" w:hAnsi="Arial" w:cs="Arial"/>
          <w:b/>
          <w:bCs/>
          <w:sz w:val="22"/>
          <w:szCs w:val="22"/>
        </w:rPr>
      </w:pPr>
      <w:r w:rsidRPr="00494CF6">
        <w:rPr>
          <w:rFonts w:ascii="Arial" w:hAnsi="Arial" w:cs="Arial"/>
          <w:b/>
          <w:bCs/>
          <w:sz w:val="22"/>
          <w:szCs w:val="22"/>
        </w:rPr>
        <w:t>Plne v súlade so stratégiou Európa 2020</w:t>
      </w:r>
    </w:p>
    <w:p w:rsidR="00F006E5" w:rsidRPr="00494CF6" w:rsidRDefault="00F006E5" w:rsidP="00F006E5">
      <w:pPr>
        <w:pStyle w:val="Odsekzoznamu"/>
        <w:numPr>
          <w:ilvl w:val="0"/>
          <w:numId w:val="35"/>
        </w:numPr>
        <w:contextualSpacing w:val="0"/>
        <w:rPr>
          <w:rFonts w:ascii="Arial" w:hAnsi="Arial" w:cs="Arial"/>
          <w:sz w:val="22"/>
          <w:szCs w:val="22"/>
        </w:rPr>
      </w:pPr>
      <w:r w:rsidRPr="00494CF6">
        <w:rPr>
          <w:rFonts w:ascii="Arial" w:hAnsi="Arial" w:cs="Arial"/>
          <w:sz w:val="22"/>
          <w:szCs w:val="22"/>
        </w:rPr>
        <w:t>Podpora zamestnanosti a podpora pracovnej mobility</w:t>
      </w:r>
    </w:p>
    <w:p w:rsidR="00F006E5" w:rsidRPr="00494CF6" w:rsidRDefault="00F006E5" w:rsidP="00F006E5">
      <w:pPr>
        <w:pStyle w:val="Odsekzoznamu"/>
        <w:numPr>
          <w:ilvl w:val="0"/>
          <w:numId w:val="35"/>
        </w:numPr>
        <w:contextualSpacing w:val="0"/>
        <w:rPr>
          <w:rFonts w:ascii="Arial" w:hAnsi="Arial" w:cs="Arial"/>
          <w:sz w:val="22"/>
          <w:szCs w:val="22"/>
        </w:rPr>
      </w:pPr>
      <w:r w:rsidRPr="00494CF6">
        <w:rPr>
          <w:rFonts w:ascii="Arial" w:hAnsi="Arial" w:cs="Arial"/>
          <w:sz w:val="22"/>
          <w:szCs w:val="22"/>
        </w:rPr>
        <w:t>Investície do vzdelávania, zručností a celoživotného vzdelávania</w:t>
      </w:r>
    </w:p>
    <w:p w:rsidR="00F006E5" w:rsidRPr="00494CF6" w:rsidRDefault="00F006E5" w:rsidP="00F006E5">
      <w:pPr>
        <w:pStyle w:val="Odsekzoznamu"/>
        <w:numPr>
          <w:ilvl w:val="0"/>
          <w:numId w:val="35"/>
        </w:numPr>
        <w:contextualSpacing w:val="0"/>
        <w:rPr>
          <w:rFonts w:ascii="Arial" w:hAnsi="Arial" w:cs="Arial"/>
          <w:sz w:val="22"/>
          <w:szCs w:val="22"/>
        </w:rPr>
      </w:pPr>
      <w:r w:rsidRPr="00494CF6">
        <w:rPr>
          <w:rFonts w:ascii="Arial" w:hAnsi="Arial" w:cs="Arial"/>
          <w:sz w:val="22"/>
          <w:szCs w:val="22"/>
        </w:rPr>
        <w:t xml:space="preserve">Podpora sociálneho začleňovania a boja proti chudobe </w:t>
      </w:r>
    </w:p>
    <w:p w:rsidR="00F006E5" w:rsidRPr="00494CF6" w:rsidRDefault="00F006E5" w:rsidP="00F006E5">
      <w:pPr>
        <w:pStyle w:val="Odsekzoznamu"/>
        <w:numPr>
          <w:ilvl w:val="0"/>
          <w:numId w:val="35"/>
        </w:numPr>
        <w:contextualSpacing w:val="0"/>
        <w:rPr>
          <w:rFonts w:ascii="Arial" w:hAnsi="Arial" w:cs="Arial"/>
          <w:b/>
          <w:bCs/>
          <w:sz w:val="22"/>
          <w:szCs w:val="22"/>
        </w:rPr>
      </w:pPr>
      <w:r w:rsidRPr="00494CF6">
        <w:rPr>
          <w:rFonts w:ascii="Arial" w:hAnsi="Arial" w:cs="Arial"/>
          <w:sz w:val="22"/>
          <w:szCs w:val="22"/>
        </w:rPr>
        <w:t>Posilňovanie inštitucionálnych kapacít a účinnej verejnej správy</w:t>
      </w:r>
      <w:r w:rsidRPr="00494CF6">
        <w:rPr>
          <w:rFonts w:ascii="Arial" w:hAnsi="Arial" w:cs="Arial"/>
          <w:b/>
          <w:bCs/>
          <w:sz w:val="22"/>
          <w:szCs w:val="22"/>
        </w:rPr>
        <w:t xml:space="preserve"> </w:t>
      </w:r>
    </w:p>
    <w:p w:rsidR="00F006E5" w:rsidRDefault="00F006E5" w:rsidP="00F006E5">
      <w:pPr>
        <w:rPr>
          <w:rFonts w:ascii="Arial" w:hAnsi="Arial" w:cs="Arial"/>
          <w:b/>
          <w:bCs/>
          <w:sz w:val="22"/>
          <w:szCs w:val="22"/>
        </w:rPr>
      </w:pPr>
    </w:p>
    <w:p w:rsidR="00F006E5" w:rsidRDefault="00F006E5" w:rsidP="00F006E5">
      <w:pPr>
        <w:rPr>
          <w:rFonts w:ascii="Arial" w:hAnsi="Arial" w:cs="Arial"/>
          <w:b/>
          <w:bCs/>
          <w:sz w:val="22"/>
          <w:szCs w:val="22"/>
        </w:rPr>
      </w:pPr>
    </w:p>
    <w:p w:rsidR="00F006E5" w:rsidRPr="00494CF6" w:rsidRDefault="00F006E5" w:rsidP="00F006E5">
      <w:pPr>
        <w:rPr>
          <w:rFonts w:ascii="Arial" w:hAnsi="Arial" w:cs="Arial"/>
          <w:b/>
          <w:bCs/>
          <w:sz w:val="22"/>
          <w:szCs w:val="22"/>
        </w:rPr>
      </w:pPr>
      <w:r w:rsidRPr="00494CF6">
        <w:rPr>
          <w:rFonts w:ascii="Arial" w:hAnsi="Arial" w:cs="Arial"/>
          <w:b/>
          <w:bCs/>
          <w:sz w:val="22"/>
          <w:szCs w:val="22"/>
        </w:rPr>
        <w:lastRenderedPageBreak/>
        <w:t>Posilnený sociálny rozmer</w:t>
      </w:r>
    </w:p>
    <w:p w:rsidR="00F006E5" w:rsidRPr="00494CF6" w:rsidRDefault="00F006E5" w:rsidP="00F006E5">
      <w:pPr>
        <w:pStyle w:val="Odsekzoznamu"/>
        <w:numPr>
          <w:ilvl w:val="0"/>
          <w:numId w:val="36"/>
        </w:numPr>
        <w:contextualSpacing w:val="0"/>
        <w:rPr>
          <w:rFonts w:ascii="Arial" w:hAnsi="Arial" w:cs="Arial"/>
          <w:sz w:val="22"/>
          <w:szCs w:val="22"/>
        </w:rPr>
      </w:pPr>
      <w:r w:rsidRPr="00494CF6">
        <w:rPr>
          <w:rFonts w:ascii="Arial" w:hAnsi="Arial" w:cs="Arial"/>
          <w:sz w:val="22"/>
          <w:szCs w:val="22"/>
        </w:rPr>
        <w:t>20 % prostriedkov vyčlenených z ESF na sociálne začleňovanie</w:t>
      </w:r>
    </w:p>
    <w:p w:rsidR="00F006E5" w:rsidRDefault="00F006E5" w:rsidP="00F006E5">
      <w:pPr>
        <w:pStyle w:val="Odsekzoznamu"/>
        <w:numPr>
          <w:ilvl w:val="0"/>
          <w:numId w:val="36"/>
        </w:numPr>
        <w:contextualSpacing w:val="0"/>
        <w:rPr>
          <w:rFonts w:ascii="Arial" w:hAnsi="Arial" w:cs="Arial"/>
          <w:sz w:val="22"/>
          <w:szCs w:val="22"/>
        </w:rPr>
      </w:pPr>
      <w:r w:rsidRPr="00494CF6">
        <w:rPr>
          <w:rFonts w:ascii="Arial" w:hAnsi="Arial" w:cs="Arial"/>
          <w:sz w:val="22"/>
          <w:szCs w:val="22"/>
        </w:rPr>
        <w:t>Väčší dôraz na boj proti nezamestnanosti mladých ľudí</w:t>
      </w:r>
    </w:p>
    <w:p w:rsidR="00F006E5" w:rsidRPr="00494CF6" w:rsidRDefault="00F006E5" w:rsidP="00F006E5">
      <w:pPr>
        <w:pStyle w:val="Odsekzoznamu"/>
        <w:numPr>
          <w:ilvl w:val="0"/>
          <w:numId w:val="36"/>
        </w:numPr>
        <w:contextualSpacing w:val="0"/>
        <w:rPr>
          <w:rFonts w:ascii="Arial" w:hAnsi="Arial" w:cs="Arial"/>
          <w:sz w:val="22"/>
          <w:szCs w:val="22"/>
        </w:rPr>
      </w:pPr>
      <w:r w:rsidRPr="00494CF6">
        <w:rPr>
          <w:rFonts w:ascii="Arial" w:hAnsi="Arial" w:cs="Arial"/>
          <w:sz w:val="22"/>
          <w:szCs w:val="22"/>
        </w:rPr>
        <w:t>Uplatňovanie a konkrétna podpora rodovej rovnosti a nediskriminácie</w:t>
      </w:r>
    </w:p>
    <w:p w:rsidR="00F006E5" w:rsidRDefault="00F006E5" w:rsidP="00F006E5">
      <w:pPr>
        <w:jc w:val="both"/>
        <w:rPr>
          <w:rFonts w:ascii="Arial" w:hAnsi="Arial" w:cs="Arial"/>
          <w:b/>
          <w:bCs/>
          <w:sz w:val="22"/>
          <w:szCs w:val="22"/>
        </w:rPr>
      </w:pPr>
    </w:p>
    <w:p w:rsidR="00F006E5" w:rsidRDefault="00F006E5" w:rsidP="00F006E5">
      <w:pPr>
        <w:jc w:val="both"/>
        <w:rPr>
          <w:rFonts w:ascii="Arial" w:hAnsi="Arial" w:cs="Arial"/>
          <w:b/>
          <w:bCs/>
          <w:sz w:val="22"/>
          <w:szCs w:val="22"/>
        </w:rPr>
      </w:pPr>
    </w:p>
    <w:p w:rsidR="00F006E5" w:rsidRDefault="00F006E5" w:rsidP="00F006E5">
      <w:pPr>
        <w:jc w:val="both"/>
        <w:rPr>
          <w:rFonts w:ascii="Arial" w:hAnsi="Arial" w:cs="Arial"/>
          <w:b/>
          <w:bCs/>
          <w:sz w:val="22"/>
          <w:szCs w:val="22"/>
        </w:rPr>
      </w:pPr>
      <w:r>
        <w:rPr>
          <w:rFonts w:ascii="Arial" w:hAnsi="Arial" w:cs="Arial"/>
          <w:b/>
          <w:bCs/>
          <w:noProof/>
          <w:sz w:val="22"/>
          <w:szCs w:val="22"/>
        </w:rPr>
        <w:drawing>
          <wp:inline distT="0" distB="0" distL="0" distR="0" wp14:anchorId="0C49DC3A" wp14:editId="08924815">
            <wp:extent cx="5534025" cy="3819008"/>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34025" cy="3819008"/>
                    </a:xfrm>
                    <a:prstGeom prst="rect">
                      <a:avLst/>
                    </a:prstGeom>
                    <a:noFill/>
                    <a:ln>
                      <a:noFill/>
                    </a:ln>
                  </pic:spPr>
                </pic:pic>
              </a:graphicData>
            </a:graphic>
          </wp:inline>
        </w:drawing>
      </w:r>
    </w:p>
    <w:p w:rsidR="00F006E5" w:rsidRPr="00494CF6" w:rsidRDefault="00F006E5" w:rsidP="00F006E5">
      <w:pPr>
        <w:jc w:val="both"/>
        <w:rPr>
          <w:rFonts w:ascii="Arial" w:hAnsi="Arial" w:cs="Arial"/>
          <w:bCs/>
          <w:sz w:val="20"/>
          <w:szCs w:val="20"/>
        </w:rPr>
      </w:pPr>
      <w:r w:rsidRPr="00494CF6">
        <w:rPr>
          <w:rFonts w:ascii="Arial" w:hAnsi="Arial" w:cs="Arial"/>
          <w:bCs/>
          <w:sz w:val="20"/>
          <w:szCs w:val="20"/>
        </w:rPr>
        <w:t>Zdroj: Európska komisia</w:t>
      </w:r>
    </w:p>
    <w:p w:rsidR="00F006E5" w:rsidRDefault="00F006E5" w:rsidP="00F006E5">
      <w:pPr>
        <w:jc w:val="both"/>
        <w:rPr>
          <w:rFonts w:ascii="Arial" w:hAnsi="Arial" w:cs="Arial"/>
          <w:b/>
          <w:bCs/>
          <w:sz w:val="22"/>
          <w:szCs w:val="22"/>
        </w:rPr>
      </w:pPr>
    </w:p>
    <w:p w:rsidR="00F006E5" w:rsidRDefault="00F006E5" w:rsidP="00F006E5">
      <w:pPr>
        <w:jc w:val="both"/>
        <w:rPr>
          <w:rFonts w:ascii="Arial" w:hAnsi="Arial" w:cs="Arial"/>
          <w:b/>
          <w:bCs/>
          <w:sz w:val="22"/>
          <w:szCs w:val="22"/>
        </w:rPr>
      </w:pPr>
    </w:p>
    <w:p w:rsidR="00F006E5" w:rsidRPr="00F006E5" w:rsidRDefault="00F006E5" w:rsidP="00F006E5">
      <w:pPr>
        <w:rPr>
          <w:rFonts w:ascii="Arial" w:hAnsi="Arial" w:cs="Arial"/>
          <w:b/>
          <w:bCs/>
          <w:sz w:val="22"/>
          <w:szCs w:val="22"/>
        </w:rPr>
      </w:pPr>
      <w:r w:rsidRPr="00F006E5">
        <w:rPr>
          <w:rFonts w:ascii="Arial" w:hAnsi="Arial" w:cs="Arial"/>
          <w:b/>
          <w:bCs/>
          <w:sz w:val="22"/>
          <w:szCs w:val="22"/>
        </w:rPr>
        <w:t>Kohézny fond (KF)</w:t>
      </w:r>
    </w:p>
    <w:p w:rsidR="00F006E5" w:rsidRPr="00494CF6" w:rsidRDefault="00F006E5" w:rsidP="00F006E5">
      <w:pPr>
        <w:rPr>
          <w:rFonts w:ascii="Arial" w:hAnsi="Arial" w:cs="Arial"/>
          <w:b/>
          <w:bCs/>
          <w:sz w:val="22"/>
          <w:szCs w:val="22"/>
        </w:rPr>
      </w:pPr>
    </w:p>
    <w:p w:rsidR="00F006E5" w:rsidRPr="00494CF6" w:rsidRDefault="00F006E5" w:rsidP="00F006E5">
      <w:pPr>
        <w:rPr>
          <w:rFonts w:ascii="Arial" w:hAnsi="Arial" w:cs="Arial"/>
          <w:b/>
          <w:bCs/>
          <w:sz w:val="22"/>
          <w:szCs w:val="22"/>
        </w:rPr>
      </w:pPr>
      <w:r w:rsidRPr="00494CF6">
        <w:rPr>
          <w:rFonts w:ascii="Arial" w:hAnsi="Arial" w:cs="Arial"/>
          <w:b/>
          <w:bCs/>
          <w:sz w:val="22"/>
          <w:szCs w:val="22"/>
        </w:rPr>
        <w:t>Podporuje členské štáty s</w:t>
      </w:r>
      <w:r w:rsidR="008F2715">
        <w:rPr>
          <w:rFonts w:ascii="Arial" w:hAnsi="Arial" w:cs="Arial"/>
          <w:b/>
          <w:bCs/>
          <w:sz w:val="22"/>
          <w:szCs w:val="22"/>
        </w:rPr>
        <w:t> hrubým národným dôchodkom (</w:t>
      </w:r>
      <w:r w:rsidRPr="00494CF6">
        <w:rPr>
          <w:rFonts w:ascii="Arial" w:hAnsi="Arial" w:cs="Arial"/>
          <w:b/>
          <w:bCs/>
          <w:sz w:val="22"/>
          <w:szCs w:val="22"/>
        </w:rPr>
        <w:t>HND</w:t>
      </w:r>
      <w:r w:rsidR="008F2715">
        <w:rPr>
          <w:rFonts w:ascii="Arial" w:hAnsi="Arial" w:cs="Arial"/>
          <w:b/>
          <w:bCs/>
          <w:sz w:val="22"/>
          <w:szCs w:val="22"/>
        </w:rPr>
        <w:t>)</w:t>
      </w:r>
      <w:r w:rsidRPr="00494CF6">
        <w:rPr>
          <w:rFonts w:ascii="Arial" w:hAnsi="Arial" w:cs="Arial"/>
          <w:b/>
          <w:bCs/>
          <w:sz w:val="22"/>
          <w:szCs w:val="22"/>
        </w:rPr>
        <w:t xml:space="preserve"> na obyvateľa &lt; 90 % priemeru EÚ 27</w:t>
      </w:r>
    </w:p>
    <w:p w:rsidR="00F006E5" w:rsidRPr="00494CF6" w:rsidRDefault="00F006E5" w:rsidP="00F006E5">
      <w:pPr>
        <w:pStyle w:val="Odsekzoznamu"/>
        <w:numPr>
          <w:ilvl w:val="0"/>
          <w:numId w:val="37"/>
        </w:numPr>
        <w:contextualSpacing w:val="0"/>
        <w:rPr>
          <w:rFonts w:ascii="Arial" w:hAnsi="Arial" w:cs="Arial"/>
          <w:sz w:val="22"/>
          <w:szCs w:val="22"/>
        </w:rPr>
      </w:pPr>
      <w:r w:rsidRPr="00494CF6">
        <w:rPr>
          <w:rFonts w:ascii="Arial" w:hAnsi="Arial" w:cs="Arial"/>
          <w:sz w:val="22"/>
          <w:szCs w:val="22"/>
        </w:rPr>
        <w:t>Investície do životného prostredia</w:t>
      </w:r>
    </w:p>
    <w:p w:rsidR="00F006E5" w:rsidRPr="00494CF6" w:rsidRDefault="00F006E5" w:rsidP="00F006E5">
      <w:pPr>
        <w:pStyle w:val="Odsekzoznamu"/>
        <w:numPr>
          <w:ilvl w:val="0"/>
          <w:numId w:val="37"/>
        </w:numPr>
        <w:contextualSpacing w:val="0"/>
        <w:rPr>
          <w:rFonts w:ascii="Arial" w:hAnsi="Arial" w:cs="Arial"/>
          <w:sz w:val="22"/>
          <w:szCs w:val="22"/>
        </w:rPr>
      </w:pPr>
      <w:r w:rsidRPr="00494CF6">
        <w:rPr>
          <w:rFonts w:ascii="Arial" w:hAnsi="Arial" w:cs="Arial"/>
          <w:sz w:val="22"/>
          <w:szCs w:val="22"/>
        </w:rPr>
        <w:t>Prispôsobovanie sa zmene klímy a prevencia rizika</w:t>
      </w:r>
    </w:p>
    <w:p w:rsidR="00F006E5" w:rsidRPr="00494CF6" w:rsidRDefault="00F006E5" w:rsidP="00F006E5">
      <w:pPr>
        <w:pStyle w:val="Odsekzoznamu"/>
        <w:numPr>
          <w:ilvl w:val="0"/>
          <w:numId w:val="37"/>
        </w:numPr>
        <w:contextualSpacing w:val="0"/>
        <w:rPr>
          <w:rFonts w:ascii="Arial" w:hAnsi="Arial" w:cs="Arial"/>
          <w:sz w:val="22"/>
          <w:szCs w:val="22"/>
        </w:rPr>
      </w:pPr>
      <w:r w:rsidRPr="00494CF6">
        <w:rPr>
          <w:rFonts w:ascii="Arial" w:hAnsi="Arial" w:cs="Arial"/>
          <w:sz w:val="22"/>
          <w:szCs w:val="22"/>
        </w:rPr>
        <w:t>Odvetvie vodného a odpadového hospodárstva</w:t>
      </w:r>
    </w:p>
    <w:p w:rsidR="00F006E5" w:rsidRPr="00494CF6" w:rsidRDefault="00F006E5" w:rsidP="00F006E5">
      <w:pPr>
        <w:pStyle w:val="Odsekzoznamu"/>
        <w:numPr>
          <w:ilvl w:val="0"/>
          <w:numId w:val="37"/>
        </w:numPr>
        <w:contextualSpacing w:val="0"/>
        <w:rPr>
          <w:rFonts w:ascii="Arial" w:hAnsi="Arial" w:cs="Arial"/>
          <w:sz w:val="22"/>
          <w:szCs w:val="22"/>
        </w:rPr>
      </w:pPr>
      <w:r w:rsidRPr="00494CF6">
        <w:rPr>
          <w:rFonts w:ascii="Arial" w:hAnsi="Arial" w:cs="Arial"/>
          <w:sz w:val="22"/>
          <w:szCs w:val="22"/>
        </w:rPr>
        <w:t>Začlenenie biodiverzity prostredníctvom ekologickej infraštruktúry</w:t>
      </w:r>
    </w:p>
    <w:p w:rsidR="00F006E5" w:rsidRPr="00494CF6" w:rsidRDefault="00F006E5" w:rsidP="00F006E5">
      <w:pPr>
        <w:pStyle w:val="Odsekzoznamu"/>
        <w:numPr>
          <w:ilvl w:val="0"/>
          <w:numId w:val="37"/>
        </w:numPr>
        <w:contextualSpacing w:val="0"/>
        <w:rPr>
          <w:rFonts w:ascii="Arial" w:hAnsi="Arial" w:cs="Arial"/>
          <w:sz w:val="22"/>
          <w:szCs w:val="22"/>
        </w:rPr>
      </w:pPr>
      <w:r w:rsidRPr="00494CF6">
        <w:rPr>
          <w:rFonts w:ascii="Arial" w:hAnsi="Arial" w:cs="Arial"/>
          <w:sz w:val="22"/>
          <w:szCs w:val="22"/>
        </w:rPr>
        <w:t>Mestské prostredie</w:t>
      </w:r>
    </w:p>
    <w:p w:rsidR="00F006E5" w:rsidRPr="00494CF6" w:rsidRDefault="00F006E5" w:rsidP="00F006E5">
      <w:pPr>
        <w:pStyle w:val="Odsekzoznamu"/>
        <w:numPr>
          <w:ilvl w:val="0"/>
          <w:numId w:val="37"/>
        </w:numPr>
        <w:contextualSpacing w:val="0"/>
        <w:rPr>
          <w:rFonts w:ascii="Arial" w:hAnsi="Arial" w:cs="Arial"/>
          <w:b/>
          <w:bCs/>
          <w:sz w:val="22"/>
          <w:szCs w:val="22"/>
        </w:rPr>
      </w:pPr>
      <w:r w:rsidRPr="00494CF6">
        <w:rPr>
          <w:rFonts w:ascii="Arial" w:hAnsi="Arial" w:cs="Arial"/>
          <w:sz w:val="22"/>
          <w:szCs w:val="22"/>
        </w:rPr>
        <w:t>Nízkouhlíkové hospodárstvo</w:t>
      </w:r>
    </w:p>
    <w:p w:rsidR="00F006E5" w:rsidRDefault="00F006E5" w:rsidP="00F006E5">
      <w:pPr>
        <w:rPr>
          <w:rFonts w:ascii="Arial" w:hAnsi="Arial" w:cs="Arial"/>
          <w:b/>
          <w:bCs/>
          <w:sz w:val="22"/>
          <w:szCs w:val="22"/>
        </w:rPr>
      </w:pPr>
    </w:p>
    <w:p w:rsidR="00F006E5" w:rsidRPr="00494CF6" w:rsidRDefault="00F006E5" w:rsidP="00F006E5">
      <w:pPr>
        <w:rPr>
          <w:rFonts w:ascii="Arial" w:hAnsi="Arial" w:cs="Arial"/>
          <w:b/>
          <w:bCs/>
          <w:sz w:val="22"/>
          <w:szCs w:val="22"/>
        </w:rPr>
      </w:pPr>
      <w:r w:rsidRPr="00494CF6">
        <w:rPr>
          <w:rFonts w:ascii="Arial" w:hAnsi="Arial" w:cs="Arial"/>
          <w:b/>
          <w:bCs/>
          <w:sz w:val="22"/>
          <w:szCs w:val="22"/>
        </w:rPr>
        <w:t>Investície do dopravy</w:t>
      </w:r>
    </w:p>
    <w:p w:rsidR="00F006E5" w:rsidRPr="00494CF6" w:rsidRDefault="00F006E5" w:rsidP="00F006E5">
      <w:pPr>
        <w:pStyle w:val="Odsekzoznamu"/>
        <w:numPr>
          <w:ilvl w:val="0"/>
          <w:numId w:val="38"/>
        </w:numPr>
        <w:contextualSpacing w:val="0"/>
        <w:rPr>
          <w:rFonts w:ascii="Arial" w:hAnsi="Arial" w:cs="Arial"/>
          <w:sz w:val="22"/>
          <w:szCs w:val="22"/>
        </w:rPr>
      </w:pPr>
      <w:r w:rsidRPr="00494CF6">
        <w:rPr>
          <w:rFonts w:ascii="Arial" w:hAnsi="Arial" w:cs="Arial"/>
          <w:sz w:val="22"/>
          <w:szCs w:val="22"/>
        </w:rPr>
        <w:t>Transeurópske dopravné siete (TEN-T)</w:t>
      </w:r>
    </w:p>
    <w:p w:rsidR="00F006E5" w:rsidRPr="00494CF6" w:rsidRDefault="00F006E5" w:rsidP="00F006E5">
      <w:pPr>
        <w:pStyle w:val="Odsekzoznamu"/>
        <w:numPr>
          <w:ilvl w:val="0"/>
          <w:numId w:val="38"/>
        </w:numPr>
        <w:contextualSpacing w:val="0"/>
        <w:rPr>
          <w:rFonts w:ascii="Arial" w:hAnsi="Arial" w:cs="Arial"/>
          <w:sz w:val="22"/>
          <w:szCs w:val="22"/>
        </w:rPr>
      </w:pPr>
      <w:r w:rsidRPr="00494CF6">
        <w:rPr>
          <w:rFonts w:ascii="Arial" w:hAnsi="Arial" w:cs="Arial"/>
          <w:sz w:val="22"/>
          <w:szCs w:val="22"/>
        </w:rPr>
        <w:t>Nízkouhlíkové dopravné systémy a mestská doprava</w:t>
      </w:r>
    </w:p>
    <w:p w:rsidR="00F006E5" w:rsidRPr="00494CF6" w:rsidRDefault="00F006E5" w:rsidP="00F006E5">
      <w:pPr>
        <w:rPr>
          <w:rFonts w:ascii="Arial" w:hAnsi="Arial" w:cs="Arial"/>
          <w:b/>
          <w:bCs/>
          <w:sz w:val="22"/>
          <w:szCs w:val="22"/>
        </w:rPr>
      </w:pPr>
    </w:p>
    <w:p w:rsidR="00F006E5" w:rsidRPr="00494CF6" w:rsidRDefault="00F006E5" w:rsidP="00F006E5">
      <w:pPr>
        <w:rPr>
          <w:rFonts w:ascii="Arial" w:hAnsi="Arial" w:cs="Arial"/>
          <w:b/>
          <w:bCs/>
          <w:sz w:val="22"/>
          <w:szCs w:val="22"/>
        </w:rPr>
      </w:pPr>
      <w:r w:rsidRPr="00494CF6">
        <w:rPr>
          <w:rFonts w:ascii="Arial" w:hAnsi="Arial" w:cs="Arial"/>
          <w:b/>
          <w:bCs/>
          <w:sz w:val="22"/>
          <w:szCs w:val="22"/>
        </w:rPr>
        <w:t>Maximálne sadzby financovania</w:t>
      </w:r>
    </w:p>
    <w:p w:rsidR="00F006E5" w:rsidRPr="00494CF6" w:rsidRDefault="00F006E5" w:rsidP="00F006E5">
      <w:pPr>
        <w:rPr>
          <w:rFonts w:ascii="Arial" w:hAnsi="Arial" w:cs="Arial"/>
          <w:sz w:val="22"/>
          <w:szCs w:val="22"/>
        </w:rPr>
      </w:pPr>
      <w:r w:rsidRPr="00494CF6">
        <w:rPr>
          <w:rFonts w:ascii="Arial" w:hAnsi="Arial" w:cs="Arial"/>
          <w:sz w:val="22"/>
          <w:szCs w:val="22"/>
        </w:rPr>
        <w:t>75-85 % v menej rozvinutých a najodľahlejších regiónoch</w:t>
      </w:r>
    </w:p>
    <w:p w:rsidR="00F006E5" w:rsidRPr="00494CF6" w:rsidRDefault="00F006E5" w:rsidP="00F006E5">
      <w:pPr>
        <w:rPr>
          <w:rFonts w:ascii="Arial" w:hAnsi="Arial" w:cs="Arial"/>
          <w:sz w:val="22"/>
          <w:szCs w:val="22"/>
        </w:rPr>
      </w:pPr>
      <w:r w:rsidRPr="00494CF6">
        <w:rPr>
          <w:rFonts w:ascii="Arial" w:hAnsi="Arial" w:cs="Arial"/>
          <w:sz w:val="22"/>
          <w:szCs w:val="22"/>
        </w:rPr>
        <w:t xml:space="preserve">60 % v prechodných regiónoch </w:t>
      </w:r>
    </w:p>
    <w:p w:rsidR="00F006E5" w:rsidRPr="00494CF6" w:rsidRDefault="00F006E5" w:rsidP="00F006E5">
      <w:pPr>
        <w:rPr>
          <w:rFonts w:ascii="Arial" w:hAnsi="Arial" w:cs="Arial"/>
          <w:b/>
          <w:bCs/>
          <w:sz w:val="22"/>
          <w:szCs w:val="22"/>
        </w:rPr>
      </w:pPr>
      <w:r w:rsidRPr="00494CF6">
        <w:rPr>
          <w:rFonts w:ascii="Arial" w:hAnsi="Arial" w:cs="Arial"/>
          <w:b/>
          <w:bCs/>
          <w:sz w:val="22"/>
          <w:szCs w:val="22"/>
        </w:rPr>
        <w:t>50 % v rozvinutejších regiónoch</w:t>
      </w:r>
    </w:p>
    <w:p w:rsidR="00F006E5" w:rsidRPr="00494CF6" w:rsidRDefault="00F006E5" w:rsidP="00F006E5">
      <w:pPr>
        <w:jc w:val="both"/>
        <w:rPr>
          <w:rFonts w:ascii="Arial" w:hAnsi="Arial" w:cs="Arial"/>
          <w:b/>
          <w:bCs/>
          <w:sz w:val="22"/>
          <w:szCs w:val="22"/>
        </w:rPr>
      </w:pPr>
    </w:p>
    <w:p w:rsidR="00AC30B3" w:rsidRPr="00AC30B3" w:rsidRDefault="00AC30B3" w:rsidP="00AC30B3">
      <w:pPr>
        <w:pStyle w:val="Nadpis1"/>
        <w:keepNext/>
        <w:spacing w:before="0" w:beforeAutospacing="0" w:after="0" w:afterAutospacing="0"/>
        <w:jc w:val="both"/>
        <w:rPr>
          <w:rFonts w:ascii="Arial" w:hAnsi="Arial" w:cs="Arial"/>
          <w:kern w:val="0"/>
          <w:sz w:val="22"/>
          <w:szCs w:val="22"/>
        </w:rPr>
      </w:pPr>
      <w:r w:rsidRPr="00AC30B3">
        <w:rPr>
          <w:rFonts w:ascii="Arial" w:hAnsi="Arial" w:cs="Arial"/>
          <w:kern w:val="0"/>
          <w:sz w:val="22"/>
          <w:szCs w:val="22"/>
        </w:rPr>
        <w:lastRenderedPageBreak/>
        <w:t xml:space="preserve">Politika súdržnosti EÚ v programovom období 2014 </w:t>
      </w:r>
      <w:r>
        <w:rPr>
          <w:rFonts w:ascii="Arial" w:hAnsi="Arial" w:cs="Arial"/>
          <w:kern w:val="0"/>
          <w:sz w:val="22"/>
          <w:szCs w:val="22"/>
        </w:rPr>
        <w:t>–</w:t>
      </w:r>
      <w:r w:rsidRPr="00AC30B3">
        <w:rPr>
          <w:rFonts w:ascii="Arial" w:hAnsi="Arial" w:cs="Arial"/>
          <w:kern w:val="0"/>
          <w:sz w:val="22"/>
          <w:szCs w:val="22"/>
        </w:rPr>
        <w:t xml:space="preserve"> 2020</w:t>
      </w:r>
      <w:bookmarkEnd w:id="1"/>
      <w:r>
        <w:rPr>
          <w:rFonts w:ascii="Arial" w:hAnsi="Arial" w:cs="Arial"/>
          <w:kern w:val="0"/>
          <w:sz w:val="22"/>
          <w:szCs w:val="22"/>
        </w:rPr>
        <w:t xml:space="preserve"> (pozícia SR</w:t>
      </w:r>
      <w:r w:rsidR="00702085">
        <w:rPr>
          <w:rFonts w:ascii="Arial" w:hAnsi="Arial" w:cs="Arial"/>
          <w:kern w:val="0"/>
          <w:sz w:val="22"/>
          <w:szCs w:val="22"/>
        </w:rPr>
        <w:t>/</w:t>
      </w:r>
      <w:r w:rsidR="00701503">
        <w:rPr>
          <w:rFonts w:ascii="Arial" w:hAnsi="Arial" w:cs="Arial"/>
          <w:kern w:val="0"/>
          <w:sz w:val="22"/>
          <w:szCs w:val="22"/>
        </w:rPr>
        <w:t xml:space="preserve"> Národný program reforiem 2013</w:t>
      </w:r>
      <w:r>
        <w:rPr>
          <w:rFonts w:ascii="Arial" w:hAnsi="Arial" w:cs="Arial"/>
          <w:kern w:val="0"/>
          <w:sz w:val="22"/>
          <w:szCs w:val="22"/>
        </w:rPr>
        <w:t>)</w:t>
      </w:r>
    </w:p>
    <w:p w:rsidR="00AC30B3" w:rsidRDefault="00AC30B3" w:rsidP="00AC30B3"/>
    <w:p w:rsidR="00AC30B3" w:rsidRPr="00AC30B3" w:rsidRDefault="00AC30B3" w:rsidP="00AC30B3">
      <w:pPr>
        <w:jc w:val="both"/>
        <w:rPr>
          <w:rFonts w:ascii="Arial" w:hAnsi="Arial" w:cs="Arial"/>
          <w:sz w:val="22"/>
          <w:szCs w:val="22"/>
        </w:rPr>
      </w:pPr>
      <w:r w:rsidRPr="00AC30B3">
        <w:rPr>
          <w:rFonts w:ascii="Arial" w:hAnsi="Arial" w:cs="Arial"/>
          <w:sz w:val="22"/>
          <w:szCs w:val="22"/>
        </w:rPr>
        <w:t>Politika súdržnosti EÚ patrí medzi kľúčové nástroje sociálno-ekonomického rozvoja SR. V tejto súvislosti je preto rozhodujúca dôsledná implementácia legislatívnych predpisov EÚ pre politiku súdržnosti EÚ, najmä s ohľadom na nové prvky zavedené pre programové obdobie 2014 – 2020. Efektívne vyčerpanie fondov EÚ v tomto programovom období a príprava nového programového obdobia 2014 – 2020 sú najväčšími prioritami vlády Slovenskej republiky v oblasti politiky súdržnosti EÚ. V roku 2012 bola zriadená Rad</w:t>
      </w:r>
      <w:r>
        <w:rPr>
          <w:rFonts w:ascii="Arial" w:hAnsi="Arial" w:cs="Arial"/>
          <w:sz w:val="22"/>
          <w:szCs w:val="22"/>
        </w:rPr>
        <w:t>a</w:t>
      </w:r>
      <w:r w:rsidRPr="00AC30B3">
        <w:rPr>
          <w:rFonts w:ascii="Arial" w:hAnsi="Arial" w:cs="Arial"/>
          <w:sz w:val="22"/>
          <w:szCs w:val="22"/>
        </w:rPr>
        <w:t xml:space="preserve"> vlády pre prípravu Partnerskej dohody SR 2014 – 2020, ktorú vedie predseda vlády SR a ktorej členmi je celé spektrum zástupcov verejnej správy a partnerov.</w:t>
      </w:r>
    </w:p>
    <w:p w:rsidR="00AC30B3" w:rsidRPr="00AC30B3" w:rsidRDefault="00AC30B3" w:rsidP="00AC30B3">
      <w:pPr>
        <w:rPr>
          <w:rFonts w:ascii="Arial" w:hAnsi="Arial" w:cs="Arial"/>
          <w:sz w:val="22"/>
          <w:szCs w:val="22"/>
        </w:rPr>
      </w:pPr>
    </w:p>
    <w:p w:rsidR="00AC30B3" w:rsidRDefault="00AC30B3" w:rsidP="00AC30B3">
      <w:pPr>
        <w:jc w:val="both"/>
        <w:rPr>
          <w:rFonts w:ascii="Arial" w:hAnsi="Arial" w:cs="Arial"/>
          <w:sz w:val="22"/>
          <w:szCs w:val="22"/>
        </w:rPr>
      </w:pPr>
      <w:r w:rsidRPr="00AC30B3">
        <w:rPr>
          <w:rFonts w:ascii="Arial" w:hAnsi="Arial" w:cs="Arial"/>
          <w:sz w:val="22"/>
          <w:szCs w:val="22"/>
        </w:rPr>
        <w:t>Hlavným cieľom programového obdobia 2014 – 2020 je zvýšiť efektivitu plnenia obmedzeného počtu cieľov definovaných na úrovni EÚ vychádzajúcich zo stratégie Európa 2020. K plneniu tohto cieľa prispejú aj jeho nové prvky, ktorými sú aj:</w:t>
      </w:r>
    </w:p>
    <w:p w:rsidR="00AC30B3" w:rsidRPr="00AC30B3" w:rsidRDefault="00AC30B3" w:rsidP="00AC30B3">
      <w:pPr>
        <w:jc w:val="both"/>
        <w:rPr>
          <w:rFonts w:ascii="Arial" w:hAnsi="Arial" w:cs="Arial"/>
          <w:sz w:val="22"/>
          <w:szCs w:val="22"/>
        </w:rPr>
      </w:pPr>
    </w:p>
    <w:p w:rsidR="00AC30B3" w:rsidRPr="00AC30B3" w:rsidRDefault="00AC30B3" w:rsidP="00AC30B3">
      <w:pPr>
        <w:numPr>
          <w:ilvl w:val="0"/>
          <w:numId w:val="20"/>
        </w:numPr>
        <w:jc w:val="both"/>
        <w:rPr>
          <w:rFonts w:ascii="Arial" w:hAnsi="Arial" w:cs="Arial"/>
          <w:sz w:val="22"/>
          <w:szCs w:val="22"/>
        </w:rPr>
      </w:pPr>
      <w:r w:rsidRPr="00AC30B3">
        <w:rPr>
          <w:rFonts w:ascii="Arial" w:hAnsi="Arial" w:cs="Arial"/>
          <w:b/>
          <w:sz w:val="22"/>
          <w:szCs w:val="22"/>
        </w:rPr>
        <w:t>viacfondový prístup</w:t>
      </w:r>
      <w:r w:rsidRPr="00AC30B3">
        <w:rPr>
          <w:rFonts w:ascii="Arial" w:hAnsi="Arial" w:cs="Arial"/>
          <w:sz w:val="22"/>
          <w:szCs w:val="22"/>
        </w:rPr>
        <w:t xml:space="preserve"> - možnosť financovania jedného operačného programu z viacerých fondov spoločného strategického rámca. To znamená možnosť mať v rámci operačných programov osobitné prioritné osi pre Európsky fond regionálneho rozvoja, Európsky sociálny fond a Kohézny fond. </w:t>
      </w:r>
    </w:p>
    <w:p w:rsidR="00AC30B3" w:rsidRPr="00AC30B3" w:rsidRDefault="00AC30B3" w:rsidP="00AC30B3">
      <w:pPr>
        <w:numPr>
          <w:ilvl w:val="0"/>
          <w:numId w:val="20"/>
        </w:numPr>
        <w:jc w:val="both"/>
        <w:rPr>
          <w:rFonts w:ascii="Arial" w:hAnsi="Arial" w:cs="Arial"/>
          <w:sz w:val="22"/>
          <w:szCs w:val="22"/>
        </w:rPr>
      </w:pPr>
      <w:r w:rsidRPr="00AC30B3">
        <w:rPr>
          <w:rFonts w:ascii="Arial" w:hAnsi="Arial" w:cs="Arial"/>
          <w:b/>
          <w:sz w:val="22"/>
          <w:szCs w:val="22"/>
        </w:rPr>
        <w:t>mechanizmus tematickej koncentrácie</w:t>
      </w:r>
      <w:r w:rsidRPr="00AC30B3">
        <w:rPr>
          <w:rFonts w:ascii="Arial" w:hAnsi="Arial" w:cs="Arial"/>
          <w:sz w:val="22"/>
          <w:szCs w:val="22"/>
        </w:rPr>
        <w:t xml:space="preserve"> – povinné vyčlenenie minimálneho podielu fondov EÚ na presne určené oblasti podpory s ohľadom na stanovené kategórie regiónov s cieľom zabezpečiť dostatočné financovanie hlavných priorít stratégie Európa 2020.</w:t>
      </w:r>
    </w:p>
    <w:p w:rsidR="00AC30B3" w:rsidRPr="00AC30B3" w:rsidRDefault="00AC30B3" w:rsidP="00AC30B3">
      <w:pPr>
        <w:numPr>
          <w:ilvl w:val="0"/>
          <w:numId w:val="20"/>
        </w:numPr>
        <w:jc w:val="both"/>
        <w:rPr>
          <w:rFonts w:ascii="Arial" w:hAnsi="Arial" w:cs="Arial"/>
          <w:sz w:val="22"/>
          <w:szCs w:val="22"/>
        </w:rPr>
      </w:pPr>
      <w:r w:rsidRPr="00AC30B3">
        <w:rPr>
          <w:rFonts w:ascii="Arial" w:hAnsi="Arial" w:cs="Arial"/>
          <w:b/>
          <w:sz w:val="22"/>
          <w:szCs w:val="22"/>
        </w:rPr>
        <w:t>integrovaný prístup k stratégii územného rozvoja</w:t>
      </w:r>
      <w:r w:rsidRPr="00AC30B3">
        <w:rPr>
          <w:rFonts w:ascii="Arial" w:hAnsi="Arial" w:cs="Arial"/>
          <w:sz w:val="22"/>
          <w:szCs w:val="22"/>
        </w:rPr>
        <w:t xml:space="preserve"> – podpora miestneho rozvoja prostredníctvom fondov spoločného strategického rámca.</w:t>
      </w:r>
    </w:p>
    <w:p w:rsidR="00AC30B3" w:rsidRPr="00AC30B3" w:rsidRDefault="00AC30B3" w:rsidP="00AC30B3">
      <w:pPr>
        <w:jc w:val="both"/>
        <w:rPr>
          <w:rFonts w:ascii="Arial" w:hAnsi="Arial" w:cs="Arial"/>
          <w:sz w:val="22"/>
          <w:szCs w:val="22"/>
        </w:rPr>
      </w:pPr>
    </w:p>
    <w:p w:rsidR="00AC30B3" w:rsidRPr="00701503" w:rsidRDefault="00AC30B3" w:rsidP="00AC30B3">
      <w:pPr>
        <w:jc w:val="both"/>
        <w:rPr>
          <w:rFonts w:ascii="Arial" w:hAnsi="Arial" w:cs="Arial"/>
          <w:b/>
          <w:sz w:val="22"/>
          <w:szCs w:val="22"/>
        </w:rPr>
      </w:pPr>
      <w:r w:rsidRPr="00AC30B3">
        <w:rPr>
          <w:rFonts w:ascii="Arial" w:hAnsi="Arial" w:cs="Arial"/>
          <w:sz w:val="22"/>
          <w:szCs w:val="22"/>
        </w:rPr>
        <w:t xml:space="preserve">V nasledujúcom období bude potrebné nasmerovať fondy EÚ na financovanie priorít s najväčším potenciálom rastu, viac využívať návratné finančné zdroje a národné financovanie. Podpora by mala byť smerovaná do oblastí, ktoré mobilizujú ekonomický rast a zamestnanosť pri zohľadnení potrieb a špecifík regiónov integrovaným spôsobom. Verejné zdroje podporia takéto aktivity tak, aby sa ich úroveň priblížila spoločenskému optimu. </w:t>
      </w:r>
      <w:r w:rsidRPr="00701503">
        <w:rPr>
          <w:rFonts w:ascii="Arial" w:hAnsi="Arial" w:cs="Arial"/>
          <w:b/>
          <w:sz w:val="22"/>
          <w:szCs w:val="22"/>
        </w:rPr>
        <w:t>SR bude v záujme zabezpečenia účinnejšej implementácie politiky súdržnosti EÚ uplatňovať vyššiu flexibilitu v oblasti podpory rôznych kategórií regiónov, ako aj pri financovaní operácií oprávnených na podporu z iného fondu a mimo oprávneného územia operačného programu.</w:t>
      </w:r>
    </w:p>
    <w:p w:rsidR="00AC30B3" w:rsidRPr="00AC30B3" w:rsidRDefault="00AC30B3" w:rsidP="00AC30B3">
      <w:pPr>
        <w:jc w:val="both"/>
        <w:rPr>
          <w:rFonts w:ascii="Arial" w:hAnsi="Arial" w:cs="Arial"/>
          <w:sz w:val="22"/>
          <w:szCs w:val="22"/>
        </w:rPr>
      </w:pPr>
    </w:p>
    <w:p w:rsidR="00AC30B3" w:rsidRPr="00AC30B3" w:rsidRDefault="00AC30B3" w:rsidP="00AC30B3">
      <w:pPr>
        <w:jc w:val="both"/>
        <w:rPr>
          <w:rFonts w:ascii="Arial" w:hAnsi="Arial" w:cs="Arial"/>
          <w:sz w:val="22"/>
          <w:szCs w:val="22"/>
        </w:rPr>
      </w:pPr>
      <w:r w:rsidRPr="00AC30B3">
        <w:rPr>
          <w:rFonts w:ascii="Arial" w:hAnsi="Arial" w:cs="Arial"/>
          <w:sz w:val="22"/>
          <w:szCs w:val="22"/>
        </w:rPr>
        <w:t>Inovatívne finančné nástroje (využitie verejných zdrojov na naviazanie súkromných zdrojov) v rámci fondov EÚ sa využívajú od programového obdobia 1994-1999, ale ich relatívny význam stúpol až v terajšom programovom období 2007-2013. V rámci programového obdobia 2014-2020 Európska komisia navrhuje dodatočne rozšíriť a posilniť úlohu inovatívnych finančných nástrojov, umožní väčšiu flexibilitu ich použitia (na všetky tematické ciele, pre všetkých konečných príjemcov a v kombinácii s inými formami podpory, ako sú napr. granty). Využitie rôznych finančných inštrumentov pri čerpaní zdrojov z fondov EÚ má oproti nenávratným finančným príspevkom v podobe grantov niekoľko výhod. Keďže sa pri využití finančných inštrumentov jedná o návratnú pomoc, tieto zdroje je neskôr znova možné využiť na stanovené ciele; to isté sa týka prípadného zisku, ktorý by sa podarilo pri ich využití dosiahnuť. Dané zdroje je možné znásobiť prostredníctvom prit</w:t>
      </w:r>
      <w:r w:rsidR="00701503">
        <w:rPr>
          <w:rFonts w:ascii="Arial" w:hAnsi="Arial" w:cs="Arial"/>
          <w:sz w:val="22"/>
          <w:szCs w:val="22"/>
        </w:rPr>
        <w:t>i</w:t>
      </w:r>
      <w:r w:rsidRPr="00AC30B3">
        <w:rPr>
          <w:rFonts w:ascii="Arial" w:hAnsi="Arial" w:cs="Arial"/>
          <w:sz w:val="22"/>
          <w:szCs w:val="22"/>
        </w:rPr>
        <w:t>ahnutia zdrojov súkromného sektora. Dodatočná expertíza a motivácia súkromného sektora zaistia efektívnejšie alokovanie prostriedkov a lepšiu finančnú disciplínu na úrovni projektov. V prípade, že sa má jednať o podporu samostatne životaschopných projektov, predstavuje návratná pomoc vhodnejšiu formu podpory, ktorá nedeformuje hospodársku súťaž a trhové prostredie.</w:t>
      </w:r>
    </w:p>
    <w:p w:rsidR="00AC30B3" w:rsidRPr="00AC30B3" w:rsidRDefault="00AC30B3" w:rsidP="00AC30B3">
      <w:pPr>
        <w:jc w:val="both"/>
        <w:rPr>
          <w:rFonts w:ascii="Arial" w:hAnsi="Arial" w:cs="Arial"/>
          <w:sz w:val="22"/>
          <w:szCs w:val="22"/>
        </w:rPr>
      </w:pPr>
    </w:p>
    <w:p w:rsidR="00AC30B3" w:rsidRPr="00AC30B3" w:rsidRDefault="00AC30B3" w:rsidP="00AC30B3">
      <w:pPr>
        <w:jc w:val="both"/>
        <w:rPr>
          <w:rFonts w:ascii="Arial" w:hAnsi="Arial" w:cs="Arial"/>
          <w:sz w:val="22"/>
          <w:szCs w:val="22"/>
        </w:rPr>
      </w:pPr>
      <w:r w:rsidRPr="00AC30B3">
        <w:rPr>
          <w:rFonts w:ascii="Arial" w:hAnsi="Arial" w:cs="Arial"/>
          <w:sz w:val="22"/>
          <w:szCs w:val="22"/>
        </w:rPr>
        <w:lastRenderedPageBreak/>
        <w:t>Európska komisia predstavila svoj pohľad na identifikáciu hlavných rozvojových potrieb a výber tematických cieľov a priorít, ktoré by mali byť financované v rámci jednotlivých fondov EÚ v podmienkach SR v Pozičnom dokumente k Partnerskej dohode SR a operačným programom na roky 2014 – 2020. V tomto dokumente definovala päť prioritných oblastí, ktoré by SR mala z Európskych štrukturálnych a investičných fondov podporovať: podnikateľské prostredie priaznivé pre inovácie, infraštruktúra pre hospodársky rast a zamestnanosť, rozvoj ľudského kapitálu a zlepšenie účasti na trhu práce, trvalo udržateľné a efektívne využívanie prírodných zdrojov, moderná a profesionálna verejná správa.</w:t>
      </w:r>
    </w:p>
    <w:p w:rsidR="00AC30B3" w:rsidRPr="00AC30B3" w:rsidRDefault="00AC30B3" w:rsidP="00AC30B3">
      <w:pPr>
        <w:jc w:val="both"/>
        <w:rPr>
          <w:rFonts w:ascii="Arial" w:hAnsi="Arial" w:cs="Arial"/>
          <w:sz w:val="22"/>
          <w:szCs w:val="22"/>
        </w:rPr>
      </w:pPr>
    </w:p>
    <w:p w:rsidR="00AC30B3" w:rsidRDefault="00AC30B3" w:rsidP="00AC30B3">
      <w:pPr>
        <w:jc w:val="both"/>
        <w:rPr>
          <w:rFonts w:ascii="Arial" w:hAnsi="Arial" w:cs="Arial"/>
          <w:sz w:val="22"/>
          <w:szCs w:val="22"/>
        </w:rPr>
      </w:pPr>
      <w:r w:rsidRPr="00AC30B3">
        <w:rPr>
          <w:rFonts w:ascii="Arial" w:hAnsi="Arial" w:cs="Arial"/>
          <w:sz w:val="22"/>
          <w:szCs w:val="22"/>
        </w:rPr>
        <w:t xml:space="preserve">V programovom období 2014 – 2020 je potrebné užšie zapojiť územnú samosprávu do procesu implementácie Európskych štrukturálnych a investičných fondov </w:t>
      </w:r>
      <w:r w:rsidRPr="00701503">
        <w:rPr>
          <w:rFonts w:ascii="Arial" w:hAnsi="Arial" w:cs="Arial"/>
          <w:b/>
          <w:sz w:val="22"/>
          <w:szCs w:val="22"/>
        </w:rPr>
        <w:t>prostredníctvom integrovaných územných nástrojov</w:t>
      </w:r>
      <w:r w:rsidRPr="00AC30B3">
        <w:rPr>
          <w:rFonts w:ascii="Arial" w:hAnsi="Arial" w:cs="Arial"/>
          <w:sz w:val="22"/>
          <w:szCs w:val="22"/>
        </w:rPr>
        <w:t>. Na základe analýzy plánov jednotlivých rezortov, analýzy návrhov nariadení EÚ a skúseností z obdobia 2007 – 2013 bol určený zoznam piatich tematických indikatívnych oblastí podpory a jedna integrovaná oblasť podpory pre regióny v podmienkach SR:</w:t>
      </w:r>
    </w:p>
    <w:p w:rsidR="00701503" w:rsidRPr="00AC30B3" w:rsidRDefault="00701503" w:rsidP="00AC30B3">
      <w:pPr>
        <w:jc w:val="both"/>
        <w:rPr>
          <w:rFonts w:ascii="Arial" w:hAnsi="Arial" w:cs="Arial"/>
          <w:sz w:val="22"/>
          <w:szCs w:val="22"/>
        </w:rPr>
      </w:pPr>
    </w:p>
    <w:p w:rsidR="00AC30B3" w:rsidRPr="00702085" w:rsidRDefault="00AC30B3" w:rsidP="00AC30B3">
      <w:pPr>
        <w:numPr>
          <w:ilvl w:val="0"/>
          <w:numId w:val="20"/>
        </w:numPr>
        <w:jc w:val="both"/>
        <w:rPr>
          <w:rFonts w:ascii="Arial" w:hAnsi="Arial" w:cs="Arial"/>
          <w:b/>
          <w:sz w:val="22"/>
          <w:szCs w:val="22"/>
        </w:rPr>
      </w:pPr>
      <w:r w:rsidRPr="00702085">
        <w:rPr>
          <w:rFonts w:ascii="Arial" w:hAnsi="Arial" w:cs="Arial"/>
          <w:b/>
          <w:sz w:val="22"/>
          <w:szCs w:val="22"/>
        </w:rPr>
        <w:t>Výskum a inovácie,</w:t>
      </w:r>
    </w:p>
    <w:p w:rsidR="00AC30B3" w:rsidRPr="00702085" w:rsidRDefault="00AC30B3" w:rsidP="00AC30B3">
      <w:pPr>
        <w:numPr>
          <w:ilvl w:val="0"/>
          <w:numId w:val="20"/>
        </w:numPr>
        <w:jc w:val="both"/>
        <w:rPr>
          <w:rFonts w:ascii="Arial" w:hAnsi="Arial" w:cs="Arial"/>
          <w:b/>
          <w:sz w:val="22"/>
          <w:szCs w:val="22"/>
        </w:rPr>
      </w:pPr>
      <w:r w:rsidRPr="00702085">
        <w:rPr>
          <w:rFonts w:ascii="Arial" w:hAnsi="Arial" w:cs="Arial"/>
          <w:b/>
          <w:sz w:val="22"/>
          <w:szCs w:val="22"/>
        </w:rPr>
        <w:t>Integrovaná infraštruktúra,</w:t>
      </w:r>
    </w:p>
    <w:p w:rsidR="00AC30B3" w:rsidRPr="00702085" w:rsidRDefault="00AC30B3" w:rsidP="00AC30B3">
      <w:pPr>
        <w:numPr>
          <w:ilvl w:val="0"/>
          <w:numId w:val="20"/>
        </w:numPr>
        <w:jc w:val="both"/>
        <w:rPr>
          <w:rFonts w:ascii="Arial" w:hAnsi="Arial" w:cs="Arial"/>
          <w:b/>
          <w:sz w:val="22"/>
          <w:szCs w:val="22"/>
        </w:rPr>
      </w:pPr>
      <w:r w:rsidRPr="00702085">
        <w:rPr>
          <w:rFonts w:ascii="Arial" w:hAnsi="Arial" w:cs="Arial"/>
          <w:b/>
          <w:sz w:val="22"/>
          <w:szCs w:val="22"/>
        </w:rPr>
        <w:t>Ľudské zdroje</w:t>
      </w:r>
      <w:r w:rsidR="008F2715">
        <w:rPr>
          <w:rFonts w:ascii="Arial" w:hAnsi="Arial" w:cs="Arial"/>
          <w:b/>
          <w:sz w:val="22"/>
          <w:szCs w:val="22"/>
        </w:rPr>
        <w:t>,</w:t>
      </w:r>
      <w:r w:rsidRPr="00702085">
        <w:rPr>
          <w:rFonts w:ascii="Arial" w:hAnsi="Arial" w:cs="Arial"/>
          <w:b/>
          <w:sz w:val="22"/>
          <w:szCs w:val="22"/>
        </w:rPr>
        <w:t xml:space="preserve"> zamestnanosť a inklúzia,</w:t>
      </w:r>
    </w:p>
    <w:p w:rsidR="00AC30B3" w:rsidRPr="00702085" w:rsidRDefault="00AC30B3" w:rsidP="00AC30B3">
      <w:pPr>
        <w:numPr>
          <w:ilvl w:val="0"/>
          <w:numId w:val="20"/>
        </w:numPr>
        <w:jc w:val="both"/>
        <w:rPr>
          <w:rFonts w:ascii="Arial" w:hAnsi="Arial" w:cs="Arial"/>
          <w:b/>
          <w:sz w:val="22"/>
          <w:szCs w:val="22"/>
        </w:rPr>
      </w:pPr>
      <w:r w:rsidRPr="00702085">
        <w:rPr>
          <w:rFonts w:ascii="Arial" w:hAnsi="Arial" w:cs="Arial"/>
          <w:b/>
          <w:sz w:val="22"/>
          <w:szCs w:val="22"/>
        </w:rPr>
        <w:t>Kvalita životného prostredia,</w:t>
      </w:r>
    </w:p>
    <w:p w:rsidR="00AC30B3" w:rsidRPr="00702085" w:rsidRDefault="00AC30B3" w:rsidP="00AC30B3">
      <w:pPr>
        <w:numPr>
          <w:ilvl w:val="0"/>
          <w:numId w:val="20"/>
        </w:numPr>
        <w:jc w:val="both"/>
        <w:rPr>
          <w:rFonts w:ascii="Arial" w:hAnsi="Arial" w:cs="Arial"/>
          <w:b/>
          <w:sz w:val="22"/>
          <w:szCs w:val="22"/>
        </w:rPr>
      </w:pPr>
      <w:r w:rsidRPr="00702085">
        <w:rPr>
          <w:rFonts w:ascii="Arial" w:hAnsi="Arial" w:cs="Arial"/>
          <w:b/>
          <w:sz w:val="22"/>
          <w:szCs w:val="22"/>
        </w:rPr>
        <w:t>Efektívna verejná správa,</w:t>
      </w:r>
    </w:p>
    <w:p w:rsidR="00AC30B3" w:rsidRPr="00702085" w:rsidRDefault="00AC30B3" w:rsidP="00AC30B3">
      <w:pPr>
        <w:numPr>
          <w:ilvl w:val="0"/>
          <w:numId w:val="20"/>
        </w:numPr>
        <w:jc w:val="both"/>
        <w:rPr>
          <w:rFonts w:ascii="Arial" w:hAnsi="Arial" w:cs="Arial"/>
          <w:b/>
          <w:sz w:val="22"/>
          <w:szCs w:val="22"/>
        </w:rPr>
      </w:pPr>
      <w:r w:rsidRPr="00702085">
        <w:rPr>
          <w:rFonts w:ascii="Arial" w:hAnsi="Arial" w:cs="Arial"/>
          <w:b/>
          <w:sz w:val="22"/>
          <w:szCs w:val="22"/>
        </w:rPr>
        <w:t>Integrovaný regionálny operačný program.</w:t>
      </w:r>
    </w:p>
    <w:p w:rsidR="00AC30B3" w:rsidRPr="00AC30B3" w:rsidRDefault="00AC30B3" w:rsidP="00AC30B3">
      <w:pPr>
        <w:jc w:val="both"/>
        <w:rPr>
          <w:rFonts w:ascii="Arial" w:hAnsi="Arial" w:cs="Arial"/>
          <w:sz w:val="22"/>
          <w:szCs w:val="22"/>
        </w:rPr>
      </w:pPr>
    </w:p>
    <w:p w:rsidR="00AC30B3" w:rsidRPr="00AC30B3" w:rsidRDefault="00AC30B3" w:rsidP="00AC30B3">
      <w:pPr>
        <w:jc w:val="both"/>
        <w:rPr>
          <w:rFonts w:ascii="Arial" w:hAnsi="Arial" w:cs="Arial"/>
          <w:sz w:val="22"/>
          <w:szCs w:val="22"/>
        </w:rPr>
      </w:pPr>
      <w:r w:rsidRPr="00AC30B3">
        <w:rPr>
          <w:rFonts w:ascii="Arial" w:hAnsi="Arial" w:cs="Arial"/>
          <w:sz w:val="22"/>
          <w:szCs w:val="22"/>
        </w:rPr>
        <w:t xml:space="preserve">Samostatné oblasti podpory sú vyžadované pre Technickú pomoc, Rozvoj vidieka, Rybné hospodárstvo a Európsku územnú spoluprácu, ktoré sú riadené na základe špecifických usmernení Európskej komisie. Uvedené tematické indikatívne oblasti podpory z fondov EÚ, ktoré si Slovenská republika stanovila, sa zhodujú s požiadavkami Európskej komisie o tom, na čo sa má podpora z fondov EÚ zamerať v rokoch 2014 - 2020. </w:t>
      </w:r>
    </w:p>
    <w:p w:rsidR="00AC30B3" w:rsidRPr="00AC30B3" w:rsidRDefault="00AC30B3" w:rsidP="00AC30B3">
      <w:pPr>
        <w:jc w:val="both"/>
        <w:rPr>
          <w:rFonts w:ascii="Arial" w:hAnsi="Arial" w:cs="Arial"/>
          <w:sz w:val="22"/>
          <w:szCs w:val="22"/>
        </w:rPr>
      </w:pPr>
    </w:p>
    <w:p w:rsidR="00AC30B3" w:rsidRPr="00AC30B3" w:rsidRDefault="00AC30B3" w:rsidP="00AC30B3">
      <w:pPr>
        <w:jc w:val="both"/>
        <w:rPr>
          <w:rFonts w:ascii="Arial" w:hAnsi="Arial" w:cs="Arial"/>
          <w:sz w:val="22"/>
          <w:szCs w:val="22"/>
        </w:rPr>
      </w:pPr>
      <w:r w:rsidRPr="00AC30B3">
        <w:rPr>
          <w:rFonts w:ascii="Arial" w:hAnsi="Arial" w:cs="Arial"/>
          <w:sz w:val="22"/>
          <w:szCs w:val="22"/>
        </w:rPr>
        <w:t xml:space="preserve">Na druhej strane, </w:t>
      </w:r>
      <w:r w:rsidRPr="00702085">
        <w:rPr>
          <w:rFonts w:ascii="Arial" w:hAnsi="Arial" w:cs="Arial"/>
          <w:b/>
          <w:sz w:val="22"/>
          <w:szCs w:val="22"/>
        </w:rPr>
        <w:t>Európska komisia</w:t>
      </w:r>
      <w:r w:rsidRPr="00AC30B3">
        <w:rPr>
          <w:rFonts w:ascii="Arial" w:hAnsi="Arial" w:cs="Arial"/>
          <w:sz w:val="22"/>
          <w:szCs w:val="22"/>
        </w:rPr>
        <w:t xml:space="preserve"> zároveň otvorene identifikovala nasledovné oblasti podpory, ktoré už </w:t>
      </w:r>
      <w:r w:rsidRPr="00702085">
        <w:rPr>
          <w:rFonts w:ascii="Arial" w:hAnsi="Arial" w:cs="Arial"/>
          <w:b/>
          <w:sz w:val="22"/>
          <w:szCs w:val="22"/>
        </w:rPr>
        <w:t>ďalej neodporúča financovať z prostriedkov EÚ</w:t>
      </w:r>
      <w:r w:rsidRPr="00AC30B3">
        <w:rPr>
          <w:rFonts w:ascii="Arial" w:hAnsi="Arial" w:cs="Arial"/>
          <w:sz w:val="22"/>
          <w:szCs w:val="22"/>
        </w:rPr>
        <w:t>: všeobecná školská infraštruktúra</w:t>
      </w:r>
      <w:r w:rsidR="00701503">
        <w:rPr>
          <w:rFonts w:ascii="Arial" w:hAnsi="Arial" w:cs="Arial"/>
          <w:sz w:val="22"/>
          <w:szCs w:val="22"/>
        </w:rPr>
        <w:t xml:space="preserve"> </w:t>
      </w:r>
      <w:r w:rsidR="00701503" w:rsidRPr="008C6106">
        <w:rPr>
          <w:rFonts w:ascii="Arial" w:hAnsi="Arial" w:cs="Arial"/>
          <w:b/>
          <w:sz w:val="22"/>
          <w:szCs w:val="22"/>
        </w:rPr>
        <w:t>(výnimku tvoria predškolské zariadenia, centrá odborného vzdelávania a prípravy a celoživotné vzdelávanie)</w:t>
      </w:r>
      <w:r w:rsidRPr="00AC30B3">
        <w:rPr>
          <w:rFonts w:ascii="Arial" w:hAnsi="Arial" w:cs="Arial"/>
          <w:sz w:val="22"/>
          <w:szCs w:val="22"/>
        </w:rPr>
        <w:t xml:space="preserve">, infraštruktúra v zdravotníctve, miestne komunikácie, údržba ciest, verejné osvetlenie, komerčné zariadenia cestovného ruchu (hotely, penzióny, aquaparky atď.). </w:t>
      </w:r>
    </w:p>
    <w:p w:rsidR="00AC30B3" w:rsidRPr="00AC30B3" w:rsidRDefault="00AC30B3" w:rsidP="00AC30B3">
      <w:pPr>
        <w:jc w:val="both"/>
        <w:rPr>
          <w:rFonts w:ascii="Arial" w:hAnsi="Arial" w:cs="Arial"/>
          <w:sz w:val="22"/>
          <w:szCs w:val="22"/>
        </w:rPr>
      </w:pPr>
    </w:p>
    <w:p w:rsidR="00AC30B3" w:rsidRPr="00AC30B3" w:rsidRDefault="00AC30B3" w:rsidP="00AC30B3">
      <w:pPr>
        <w:jc w:val="both"/>
        <w:rPr>
          <w:rFonts w:ascii="Arial" w:hAnsi="Arial" w:cs="Arial"/>
          <w:sz w:val="22"/>
          <w:szCs w:val="22"/>
        </w:rPr>
      </w:pPr>
      <w:r w:rsidRPr="0035350D">
        <w:rPr>
          <w:rFonts w:ascii="Arial" w:hAnsi="Arial" w:cs="Arial"/>
          <w:b/>
          <w:sz w:val="22"/>
          <w:szCs w:val="22"/>
        </w:rPr>
        <w:t>Oprávnenosť podpory pre tieto oblasti bude predmetom ďalších rokovaní medzi Európskou komisiou a Slovenskou republikou.</w:t>
      </w:r>
      <w:r w:rsidRPr="00AC30B3">
        <w:rPr>
          <w:rFonts w:ascii="Arial" w:hAnsi="Arial" w:cs="Arial"/>
          <w:sz w:val="22"/>
          <w:szCs w:val="22"/>
        </w:rPr>
        <w:t xml:space="preserve"> V súčasnosti už prebiehajú neformálne vyjednávania s Európskou komisiou k jednotlivým prioritným oblastiam.</w:t>
      </w:r>
    </w:p>
    <w:p w:rsidR="00AC30B3" w:rsidRPr="00AC30B3" w:rsidRDefault="00AC30B3" w:rsidP="00AC30B3">
      <w:pPr>
        <w:jc w:val="both"/>
        <w:rPr>
          <w:rFonts w:ascii="Arial" w:hAnsi="Arial" w:cs="Arial"/>
          <w:sz w:val="22"/>
          <w:szCs w:val="22"/>
        </w:rPr>
      </w:pPr>
    </w:p>
    <w:p w:rsidR="00AC30B3" w:rsidRPr="00AC30B3" w:rsidRDefault="00AC30B3" w:rsidP="00AC30B3">
      <w:pPr>
        <w:jc w:val="both"/>
        <w:rPr>
          <w:rFonts w:ascii="Arial" w:hAnsi="Arial" w:cs="Arial"/>
          <w:sz w:val="22"/>
          <w:szCs w:val="22"/>
        </w:rPr>
      </w:pPr>
      <w:r w:rsidRPr="00AC30B3">
        <w:rPr>
          <w:rFonts w:ascii="Arial" w:hAnsi="Arial" w:cs="Arial"/>
          <w:sz w:val="22"/>
          <w:szCs w:val="22"/>
        </w:rPr>
        <w:t>Aktivity v oblasti politiky súdržnosti v SR boli v uplynulom roku zamerané na prípravu Partnerskej dohody SR na roky 2014 - 2020, ktorá predstavuje základný strategický dokument na národnej úrovni pre integrované využitie Európskych štrukturálnych a investičných fondov.</w:t>
      </w:r>
    </w:p>
    <w:p w:rsidR="00AC30B3" w:rsidRPr="00AC30B3" w:rsidRDefault="00AC30B3" w:rsidP="00AC30B3">
      <w:pPr>
        <w:jc w:val="both"/>
        <w:rPr>
          <w:rFonts w:ascii="Arial" w:hAnsi="Arial" w:cs="Arial"/>
          <w:sz w:val="22"/>
          <w:szCs w:val="22"/>
        </w:rPr>
      </w:pPr>
    </w:p>
    <w:p w:rsidR="00AC30B3" w:rsidRPr="00AC30B3" w:rsidRDefault="00AC30B3" w:rsidP="00AC30B3">
      <w:pPr>
        <w:jc w:val="both"/>
        <w:rPr>
          <w:rFonts w:ascii="Arial" w:hAnsi="Arial" w:cs="Arial"/>
          <w:sz w:val="22"/>
          <w:szCs w:val="22"/>
        </w:rPr>
      </w:pPr>
      <w:r w:rsidRPr="00AC30B3">
        <w:rPr>
          <w:rFonts w:ascii="Arial" w:hAnsi="Arial" w:cs="Arial"/>
          <w:sz w:val="22"/>
          <w:szCs w:val="22"/>
        </w:rPr>
        <w:t>Dôležitým východiskom pre proces prípravy Partnerskej dohody SR je materiál „Spôsob uplatnenia ex ante kondicionalít pri príprave implementačného mechanizmu politiky súdržnosti EÚ po roku 2013 v podmienkach Slovenskej republiky“, ktorý bol schválený uznesením vlády SR č. 305 z 27. júna 2012. Predmetný materiál informuje o spôsobe uplatnenia ex ante kondicionalít ako podmienok na úspešné a účinné využívanie fondov EÚ v budúcom programovom období. Podkladom na vypracovanie Partnerskej dohody SR je aj materiál „Návrh základných princípov na prípravu Partnerskej dohody SR na programové obdobie 2014 – 2020“ schválený uznesením v</w:t>
      </w:r>
      <w:r w:rsidR="008F2715">
        <w:rPr>
          <w:rFonts w:ascii="Arial" w:hAnsi="Arial" w:cs="Arial"/>
          <w:sz w:val="22"/>
          <w:szCs w:val="22"/>
        </w:rPr>
        <w:t>lády SR č. 657 z 28. novembra</w:t>
      </w:r>
      <w:r w:rsidRPr="00AC30B3">
        <w:rPr>
          <w:rFonts w:ascii="Arial" w:hAnsi="Arial" w:cs="Arial"/>
          <w:sz w:val="22"/>
          <w:szCs w:val="22"/>
        </w:rPr>
        <w:t xml:space="preserve"> 2012. Materi</w:t>
      </w:r>
      <w:r w:rsidR="008F2715">
        <w:rPr>
          <w:rFonts w:ascii="Arial" w:hAnsi="Arial" w:cs="Arial"/>
          <w:sz w:val="22"/>
          <w:szCs w:val="22"/>
        </w:rPr>
        <w:t>ál hodnotí doterajšie skúsenosti</w:t>
      </w:r>
      <w:r w:rsidRPr="00AC30B3">
        <w:rPr>
          <w:rFonts w:ascii="Arial" w:hAnsi="Arial" w:cs="Arial"/>
          <w:sz w:val="22"/>
          <w:szCs w:val="22"/>
        </w:rPr>
        <w:t xml:space="preserve"> z procesu implementácie politiky súdržnosti EÚ, politiky rozvoja vidieka a politiky rybného hospodárstva v súčasnom programovom období a definuje strategický prístup v návrhoch právnych predpisov </w:t>
      </w:r>
      <w:r w:rsidRPr="00AC30B3">
        <w:rPr>
          <w:rFonts w:ascii="Arial" w:hAnsi="Arial" w:cs="Arial"/>
          <w:sz w:val="22"/>
          <w:szCs w:val="22"/>
        </w:rPr>
        <w:lastRenderedPageBreak/>
        <w:t>EÚ pre politiku súdržnosti. Obsahom materiálu je aj informácia o príprave Partnerskej dohody SR na programové obdobie 2014 – 2020, opis základných princípov programovania, ako aj prehľad a výber tematických cieľov a investičných priorít pre Partnerskú dohodu SR na roky 2014 – 2020. Jeho súčasťou je aj priemet základných princípov vo vzťahu k cieľu „Európska územná spolupráca“ a k horizontálnym princípom.</w:t>
      </w:r>
    </w:p>
    <w:p w:rsidR="00066496" w:rsidRPr="005C1A66" w:rsidRDefault="00066496" w:rsidP="00654EA0">
      <w:pPr>
        <w:jc w:val="both"/>
        <w:rPr>
          <w:rFonts w:ascii="Arial" w:hAnsi="Arial" w:cs="Arial"/>
          <w:sz w:val="22"/>
          <w:szCs w:val="22"/>
        </w:rPr>
      </w:pPr>
    </w:p>
    <w:p w:rsidR="00470F32" w:rsidRPr="00A4438A" w:rsidRDefault="00470F32" w:rsidP="00470F32">
      <w:pPr>
        <w:rPr>
          <w:rFonts w:ascii="Arial" w:hAnsi="Arial" w:cs="Arial"/>
          <w:b/>
          <w:sz w:val="22"/>
          <w:szCs w:val="22"/>
        </w:rPr>
      </w:pPr>
      <w:r>
        <w:rPr>
          <w:rFonts w:ascii="Arial" w:hAnsi="Arial" w:cs="Arial"/>
          <w:b/>
          <w:sz w:val="22"/>
          <w:szCs w:val="22"/>
        </w:rPr>
        <w:t>Návrh s</w:t>
      </w:r>
      <w:r w:rsidRPr="00A4438A">
        <w:rPr>
          <w:rFonts w:ascii="Arial" w:hAnsi="Arial" w:cs="Arial"/>
          <w:b/>
          <w:sz w:val="22"/>
          <w:szCs w:val="22"/>
        </w:rPr>
        <w:t>ektorov</w:t>
      </w:r>
      <w:r>
        <w:rPr>
          <w:rFonts w:ascii="Arial" w:hAnsi="Arial" w:cs="Arial"/>
          <w:b/>
          <w:sz w:val="22"/>
          <w:szCs w:val="22"/>
        </w:rPr>
        <w:t>ých</w:t>
      </w:r>
      <w:r w:rsidRPr="00A4438A">
        <w:rPr>
          <w:rFonts w:ascii="Arial" w:hAnsi="Arial" w:cs="Arial"/>
          <w:b/>
          <w:sz w:val="22"/>
          <w:szCs w:val="22"/>
        </w:rPr>
        <w:t xml:space="preserve"> operačn</w:t>
      </w:r>
      <w:r>
        <w:rPr>
          <w:rFonts w:ascii="Arial" w:hAnsi="Arial" w:cs="Arial"/>
          <w:b/>
          <w:sz w:val="22"/>
          <w:szCs w:val="22"/>
        </w:rPr>
        <w:t>ých programov</w:t>
      </w:r>
      <w:r w:rsidR="002B2F09">
        <w:rPr>
          <w:rFonts w:ascii="Arial" w:hAnsi="Arial" w:cs="Arial"/>
          <w:b/>
          <w:sz w:val="22"/>
          <w:szCs w:val="22"/>
        </w:rPr>
        <w:t xml:space="preserve"> 2014-2020</w:t>
      </w:r>
    </w:p>
    <w:p w:rsidR="00470F32" w:rsidRDefault="00470F32" w:rsidP="00470F32">
      <w:pPr>
        <w:rPr>
          <w:rFonts w:ascii="Arial" w:hAnsi="Arial" w:cs="Arial"/>
          <w:sz w:val="22"/>
          <w:szCs w:val="22"/>
        </w:rPr>
      </w:pPr>
    </w:p>
    <w:p w:rsidR="00470F32" w:rsidRPr="005C1A66" w:rsidRDefault="00470F32" w:rsidP="00470F32">
      <w:pPr>
        <w:rPr>
          <w:rFonts w:ascii="Arial" w:hAnsi="Arial" w:cs="Arial"/>
          <w:sz w:val="22"/>
          <w:szCs w:val="22"/>
        </w:rPr>
      </w:pPr>
      <w:r w:rsidRPr="005C1A66">
        <w:rPr>
          <w:rFonts w:ascii="Arial" w:hAnsi="Arial" w:cs="Arial"/>
          <w:sz w:val="22"/>
          <w:szCs w:val="22"/>
        </w:rPr>
        <w:t xml:space="preserve">Tab. 1 Návrh počtu a štruktúry operačných programov na využívanie EŠIF  2014-2020 </w:t>
      </w:r>
    </w:p>
    <w:tbl>
      <w:tblPr>
        <w:tblW w:w="9370" w:type="dxa"/>
        <w:tblInd w:w="55" w:type="dxa"/>
        <w:tblCellMar>
          <w:left w:w="0" w:type="dxa"/>
          <w:right w:w="0" w:type="dxa"/>
        </w:tblCellMar>
        <w:tblLook w:val="04A0" w:firstRow="1" w:lastRow="0" w:firstColumn="1" w:lastColumn="0" w:noHBand="0" w:noVBand="1"/>
      </w:tblPr>
      <w:tblGrid>
        <w:gridCol w:w="680"/>
        <w:gridCol w:w="2412"/>
        <w:gridCol w:w="1537"/>
        <w:gridCol w:w="2328"/>
        <w:gridCol w:w="1515"/>
        <w:gridCol w:w="898"/>
      </w:tblGrid>
      <w:tr w:rsidR="00470F32" w:rsidRPr="005C1A66" w:rsidTr="00F006E5">
        <w:trPr>
          <w:trHeight w:val="1035"/>
        </w:trPr>
        <w:tc>
          <w:tcPr>
            <w:tcW w:w="724" w:type="dxa"/>
            <w:tcBorders>
              <w:top w:val="single" w:sz="12" w:space="0" w:color="auto"/>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rPr>
                <w:rFonts w:ascii="Arial" w:eastAsiaTheme="minorHAnsi" w:hAnsi="Arial" w:cs="Arial"/>
                <w:b/>
                <w:bCs/>
                <w:color w:val="000000"/>
                <w:sz w:val="22"/>
                <w:szCs w:val="22"/>
              </w:rPr>
            </w:pPr>
            <w:r w:rsidRPr="005C1A66">
              <w:rPr>
                <w:rFonts w:ascii="Arial" w:hAnsi="Arial" w:cs="Arial"/>
                <w:b/>
                <w:bCs/>
                <w:color w:val="000000"/>
                <w:sz w:val="22"/>
                <w:szCs w:val="22"/>
              </w:rPr>
              <w:t>P.č.</w:t>
            </w:r>
          </w:p>
        </w:tc>
        <w:tc>
          <w:tcPr>
            <w:tcW w:w="2693"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b/>
                <w:bCs/>
                <w:color w:val="000000"/>
                <w:sz w:val="22"/>
                <w:szCs w:val="22"/>
              </w:rPr>
            </w:pPr>
            <w:r w:rsidRPr="005C1A66">
              <w:rPr>
                <w:rFonts w:ascii="Arial" w:hAnsi="Arial" w:cs="Arial"/>
                <w:b/>
                <w:bCs/>
                <w:color w:val="000000"/>
                <w:sz w:val="22"/>
                <w:szCs w:val="22"/>
              </w:rPr>
              <w:t>Operačné programy</w:t>
            </w:r>
          </w:p>
        </w:tc>
        <w:tc>
          <w:tcPr>
            <w:tcW w:w="1600"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b/>
                <w:bCs/>
                <w:color w:val="000000"/>
                <w:sz w:val="22"/>
                <w:szCs w:val="22"/>
              </w:rPr>
            </w:pPr>
            <w:r w:rsidRPr="005C1A66">
              <w:rPr>
                <w:rFonts w:ascii="Arial" w:hAnsi="Arial" w:cs="Arial"/>
                <w:b/>
                <w:bCs/>
                <w:color w:val="000000"/>
                <w:sz w:val="22"/>
                <w:szCs w:val="22"/>
              </w:rPr>
              <w:t>Riadiaci orgán</w:t>
            </w:r>
          </w:p>
        </w:tc>
        <w:tc>
          <w:tcPr>
            <w:tcW w:w="1934"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b/>
                <w:bCs/>
                <w:color w:val="000000"/>
                <w:sz w:val="22"/>
                <w:szCs w:val="22"/>
              </w:rPr>
            </w:pPr>
            <w:r w:rsidRPr="005C1A66">
              <w:rPr>
                <w:rFonts w:ascii="Arial" w:hAnsi="Arial" w:cs="Arial"/>
                <w:b/>
                <w:bCs/>
                <w:color w:val="000000"/>
                <w:sz w:val="22"/>
                <w:szCs w:val="22"/>
              </w:rPr>
              <w:t xml:space="preserve">Sprostredkovateľský orgán pod riadiacim orgánom </w:t>
            </w:r>
          </w:p>
        </w:tc>
        <w:tc>
          <w:tcPr>
            <w:tcW w:w="1603" w:type="dxa"/>
            <w:tcBorders>
              <w:top w:val="single" w:sz="12" w:space="0" w:color="auto"/>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b/>
                <w:bCs/>
                <w:color w:val="000000"/>
                <w:sz w:val="22"/>
                <w:szCs w:val="22"/>
              </w:rPr>
            </w:pPr>
            <w:r w:rsidRPr="005C1A66">
              <w:rPr>
                <w:rFonts w:ascii="Arial" w:hAnsi="Arial" w:cs="Arial"/>
                <w:b/>
                <w:bCs/>
                <w:color w:val="000000"/>
                <w:sz w:val="22"/>
                <w:szCs w:val="22"/>
              </w:rPr>
              <w:t>Tematický cieľ / Investičná priorita</w:t>
            </w:r>
          </w:p>
        </w:tc>
        <w:tc>
          <w:tcPr>
            <w:tcW w:w="816" w:type="dxa"/>
            <w:tcBorders>
              <w:top w:val="single" w:sz="12" w:space="0" w:color="auto"/>
              <w:left w:val="nil"/>
              <w:bottom w:val="single" w:sz="12" w:space="0" w:color="auto"/>
              <w:right w:val="single" w:sz="12"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b/>
                <w:bCs/>
                <w:color w:val="000000"/>
                <w:sz w:val="22"/>
                <w:szCs w:val="22"/>
              </w:rPr>
            </w:pPr>
            <w:r w:rsidRPr="005C1A66">
              <w:rPr>
                <w:rFonts w:ascii="Arial" w:hAnsi="Arial" w:cs="Arial"/>
                <w:b/>
                <w:bCs/>
                <w:color w:val="000000"/>
                <w:sz w:val="22"/>
                <w:szCs w:val="22"/>
              </w:rPr>
              <w:t>Fond EÚ</w:t>
            </w:r>
          </w:p>
        </w:tc>
      </w:tr>
      <w:tr w:rsidR="00470F32" w:rsidRPr="005C1A66" w:rsidTr="00F006E5">
        <w:trPr>
          <w:trHeight w:val="450"/>
        </w:trPr>
        <w:tc>
          <w:tcPr>
            <w:tcW w:w="724" w:type="dxa"/>
            <w:vMerge w:val="restart"/>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1</w:t>
            </w:r>
          </w:p>
        </w:tc>
        <w:tc>
          <w:tcPr>
            <w:tcW w:w="2693" w:type="dxa"/>
            <w:vMerge w:val="restart"/>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Výskum a inovácie (VaI)</w:t>
            </w:r>
          </w:p>
        </w:tc>
        <w:tc>
          <w:tcPr>
            <w:tcW w:w="1600" w:type="dxa"/>
            <w:vMerge w:val="restart"/>
            <w:tcBorders>
              <w:top w:val="nil"/>
              <w:left w:val="nil"/>
              <w:bottom w:val="single" w:sz="12" w:space="0" w:color="auto"/>
              <w:right w:val="nil"/>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xml:space="preserve">MŠVVŠ SR </w:t>
            </w:r>
          </w:p>
        </w:tc>
        <w:tc>
          <w:tcPr>
            <w:tcW w:w="1934" w:type="dxa"/>
            <w:tcBorders>
              <w:top w:val="nil"/>
              <w:left w:val="nil"/>
              <w:bottom w:val="single" w:sz="8" w:space="0" w:color="auto"/>
              <w:right w:val="nil"/>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w:t>
            </w: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1a, 10</w:t>
            </w:r>
          </w:p>
        </w:tc>
        <w:tc>
          <w:tcPr>
            <w:tcW w:w="816" w:type="dxa"/>
            <w:vMerge w:val="restart"/>
            <w:tcBorders>
              <w:top w:val="nil"/>
              <w:left w:val="nil"/>
              <w:bottom w:val="single" w:sz="12" w:space="0" w:color="auto"/>
              <w:right w:val="single" w:sz="12" w:space="0" w:color="auto"/>
            </w:tcBorders>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EFRR ESF</w:t>
            </w:r>
          </w:p>
        </w:tc>
      </w:tr>
      <w:tr w:rsidR="00470F32" w:rsidRPr="005C1A66" w:rsidTr="00F006E5">
        <w:trPr>
          <w:trHeight w:val="315"/>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nil"/>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single" w:sz="8" w:space="0" w:color="auto"/>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MH SR</w:t>
            </w:r>
          </w:p>
        </w:tc>
        <w:tc>
          <w:tcPr>
            <w:tcW w:w="160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1b, 3</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21"/>
        </w:trPr>
        <w:tc>
          <w:tcPr>
            <w:tcW w:w="724" w:type="dxa"/>
            <w:vMerge w:val="restart"/>
            <w:tcBorders>
              <w:top w:val="nil"/>
              <w:left w:val="single" w:sz="12" w:space="0" w:color="auto"/>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2</w:t>
            </w:r>
          </w:p>
        </w:tc>
        <w:tc>
          <w:tcPr>
            <w:tcW w:w="2693" w:type="dxa"/>
            <w:vMerge w:val="restart"/>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Integrovaná infraštruktúra (II)</w:t>
            </w:r>
          </w:p>
        </w:tc>
        <w:tc>
          <w:tcPr>
            <w:tcW w:w="1600" w:type="dxa"/>
            <w:vMerge w:val="restart"/>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MDVRR SR</w:t>
            </w:r>
          </w:p>
        </w:tc>
        <w:tc>
          <w:tcPr>
            <w:tcW w:w="1934" w:type="dxa"/>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MF SR</w:t>
            </w:r>
          </w:p>
        </w:tc>
        <w:tc>
          <w:tcPr>
            <w:tcW w:w="1603" w:type="dxa"/>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2</w:t>
            </w:r>
          </w:p>
        </w:tc>
        <w:tc>
          <w:tcPr>
            <w:tcW w:w="816" w:type="dxa"/>
            <w:vMerge w:val="restart"/>
            <w:tcBorders>
              <w:top w:val="nil"/>
              <w:left w:val="nil"/>
              <w:bottom w:val="single" w:sz="12" w:space="0" w:color="auto"/>
              <w:right w:val="single" w:sz="12" w:space="0" w:color="auto"/>
            </w:tcBorders>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KF EFRR</w:t>
            </w:r>
          </w:p>
        </w:tc>
      </w:tr>
      <w:tr w:rsidR="00470F32" w:rsidRPr="005C1A66" w:rsidTr="00F006E5">
        <w:trPr>
          <w:trHeight w:val="315"/>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12" w:space="0" w:color="auto"/>
              <w:right w:val="nil"/>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xml:space="preserve">7a,b,c,d, </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00"/>
        </w:trPr>
        <w:tc>
          <w:tcPr>
            <w:tcW w:w="724" w:type="dxa"/>
            <w:vMerge w:val="restart"/>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3</w:t>
            </w:r>
          </w:p>
        </w:tc>
        <w:tc>
          <w:tcPr>
            <w:tcW w:w="2693" w:type="dxa"/>
            <w:vMerge w:val="restart"/>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Ľudské zdroje (ĽZ)</w:t>
            </w:r>
          </w:p>
        </w:tc>
        <w:tc>
          <w:tcPr>
            <w:tcW w:w="1600" w:type="dxa"/>
            <w:vMerge w:val="restart"/>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MPSVR SR</w:t>
            </w:r>
          </w:p>
        </w:tc>
        <w:tc>
          <w:tcPr>
            <w:tcW w:w="19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MV SR</w:t>
            </w: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9</w:t>
            </w:r>
          </w:p>
        </w:tc>
        <w:tc>
          <w:tcPr>
            <w:tcW w:w="816" w:type="dxa"/>
            <w:vMerge w:val="restart"/>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EFRR ESF</w:t>
            </w:r>
          </w:p>
        </w:tc>
      </w:tr>
      <w:tr w:rsidR="00470F32" w:rsidRPr="005C1A66" w:rsidTr="00F006E5">
        <w:trPr>
          <w:trHeight w:val="300"/>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8" w:space="0" w:color="auto"/>
              <w:right w:val="nil"/>
            </w:tcBorders>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8, 9, 10,</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00"/>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MZ SR</w:t>
            </w: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9a</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15"/>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MŠVVŠ SR</w:t>
            </w:r>
          </w:p>
        </w:tc>
        <w:tc>
          <w:tcPr>
            <w:tcW w:w="160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10</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00"/>
        </w:trPr>
        <w:tc>
          <w:tcPr>
            <w:tcW w:w="724" w:type="dxa"/>
            <w:vMerge w:val="restart"/>
            <w:tcBorders>
              <w:top w:val="nil"/>
              <w:left w:val="single" w:sz="12" w:space="0" w:color="auto"/>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4</w:t>
            </w:r>
          </w:p>
        </w:tc>
        <w:tc>
          <w:tcPr>
            <w:tcW w:w="2693" w:type="dxa"/>
            <w:vMerge w:val="restart"/>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Kvalita životného prostredia (KŽP)</w:t>
            </w:r>
          </w:p>
        </w:tc>
        <w:tc>
          <w:tcPr>
            <w:tcW w:w="1600" w:type="dxa"/>
            <w:vMerge w:val="restart"/>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MŽP SR</w:t>
            </w:r>
          </w:p>
        </w:tc>
        <w:tc>
          <w:tcPr>
            <w:tcW w:w="19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MDVRR SR</w:t>
            </w: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4c</w:t>
            </w:r>
          </w:p>
        </w:tc>
        <w:tc>
          <w:tcPr>
            <w:tcW w:w="816" w:type="dxa"/>
            <w:vMerge w:val="restart"/>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KF EFRR</w:t>
            </w:r>
          </w:p>
        </w:tc>
      </w:tr>
      <w:tr w:rsidR="00470F32" w:rsidRPr="005C1A66" w:rsidTr="00F006E5">
        <w:trPr>
          <w:trHeight w:val="300"/>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MH SR</w:t>
            </w: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4, 7e</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00"/>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8" w:space="0" w:color="auto"/>
              <w:right w:val="nil"/>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4, 5, 6</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15"/>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MV SR</w:t>
            </w:r>
          </w:p>
        </w:tc>
        <w:tc>
          <w:tcPr>
            <w:tcW w:w="1603" w:type="dxa"/>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5b</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45"/>
        </w:trPr>
        <w:tc>
          <w:tcPr>
            <w:tcW w:w="724" w:type="dxa"/>
            <w:vMerge w:val="restart"/>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5</w:t>
            </w:r>
          </w:p>
        </w:tc>
        <w:tc>
          <w:tcPr>
            <w:tcW w:w="2693" w:type="dxa"/>
            <w:vMerge w:val="restart"/>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Integrovaný ROP (IROP)</w:t>
            </w:r>
          </w:p>
        </w:tc>
        <w:tc>
          <w:tcPr>
            <w:tcW w:w="1600" w:type="dxa"/>
            <w:vMerge w:val="restart"/>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MPaRV SR</w:t>
            </w:r>
          </w:p>
        </w:tc>
        <w:tc>
          <w:tcPr>
            <w:tcW w:w="19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MK SR</w:t>
            </w: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6c</w:t>
            </w:r>
          </w:p>
        </w:tc>
        <w:tc>
          <w:tcPr>
            <w:tcW w:w="816" w:type="dxa"/>
            <w:vMerge w:val="restart"/>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ESF EFRR</w:t>
            </w:r>
          </w:p>
        </w:tc>
      </w:tr>
      <w:tr w:rsidR="00470F32" w:rsidRPr="005C1A66" w:rsidTr="00F006E5">
        <w:trPr>
          <w:trHeight w:val="362"/>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8 x VÚC</w:t>
            </w:r>
          </w:p>
        </w:tc>
        <w:tc>
          <w:tcPr>
            <w:tcW w:w="16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5,6,7,9, 10</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315"/>
        </w:trPr>
        <w:tc>
          <w:tcPr>
            <w:tcW w:w="0" w:type="auto"/>
            <w:vMerge/>
            <w:tcBorders>
              <w:top w:val="nil"/>
              <w:left w:val="single" w:sz="12" w:space="0" w:color="auto"/>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0" w:type="auto"/>
            <w:vMerge/>
            <w:tcBorders>
              <w:top w:val="nil"/>
              <w:left w:val="nil"/>
              <w:bottom w:val="single" w:sz="12" w:space="0" w:color="auto"/>
              <w:right w:val="single" w:sz="8" w:space="0" w:color="auto"/>
            </w:tcBorders>
            <w:vAlign w:val="center"/>
            <w:hideMark/>
          </w:tcPr>
          <w:p w:rsidR="00470F32" w:rsidRPr="005C1A66" w:rsidRDefault="00470F32" w:rsidP="00F006E5">
            <w:pPr>
              <w:rPr>
                <w:rFonts w:ascii="Arial" w:eastAsiaTheme="minorHAnsi" w:hAnsi="Arial" w:cs="Arial"/>
                <w:color w:val="000000"/>
                <w:sz w:val="22"/>
                <w:szCs w:val="22"/>
              </w:rPr>
            </w:pPr>
          </w:p>
        </w:tc>
        <w:tc>
          <w:tcPr>
            <w:tcW w:w="1934" w:type="dxa"/>
            <w:tcBorders>
              <w:top w:val="nil"/>
              <w:left w:val="nil"/>
              <w:bottom w:val="single" w:sz="12" w:space="0" w:color="auto"/>
              <w:right w:val="nil"/>
            </w:tcBorders>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5,6,7,9, 10</w:t>
            </w:r>
          </w:p>
        </w:tc>
        <w:tc>
          <w:tcPr>
            <w:tcW w:w="0" w:type="auto"/>
            <w:vMerge/>
            <w:tcBorders>
              <w:top w:val="nil"/>
              <w:left w:val="nil"/>
              <w:bottom w:val="single" w:sz="12" w:space="0" w:color="auto"/>
              <w:right w:val="single" w:sz="12" w:space="0" w:color="auto"/>
            </w:tcBorders>
            <w:vAlign w:val="center"/>
            <w:hideMark/>
          </w:tcPr>
          <w:p w:rsidR="00470F32" w:rsidRPr="005C1A66" w:rsidRDefault="00470F32" w:rsidP="00F006E5">
            <w:pPr>
              <w:rPr>
                <w:rFonts w:ascii="Arial" w:eastAsiaTheme="minorHAnsi" w:hAnsi="Arial" w:cs="Arial"/>
                <w:color w:val="000000"/>
                <w:sz w:val="22"/>
                <w:szCs w:val="22"/>
              </w:rPr>
            </w:pPr>
          </w:p>
        </w:tc>
      </w:tr>
      <w:tr w:rsidR="00470F32" w:rsidRPr="005C1A66" w:rsidTr="00F006E5">
        <w:trPr>
          <w:trHeight w:val="525"/>
        </w:trPr>
        <w:tc>
          <w:tcPr>
            <w:tcW w:w="724" w:type="dxa"/>
            <w:tcBorders>
              <w:top w:val="nil"/>
              <w:left w:val="single" w:sz="12" w:space="0" w:color="auto"/>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6</w:t>
            </w:r>
          </w:p>
        </w:tc>
        <w:tc>
          <w:tcPr>
            <w:tcW w:w="2693" w:type="dxa"/>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Efektívna verejná správa (EVS)</w:t>
            </w:r>
          </w:p>
        </w:tc>
        <w:tc>
          <w:tcPr>
            <w:tcW w:w="1600" w:type="dxa"/>
            <w:tcBorders>
              <w:top w:val="nil"/>
              <w:left w:val="nil"/>
              <w:bottom w:val="single" w:sz="12" w:space="0" w:color="auto"/>
              <w:right w:val="nil"/>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MV SR</w:t>
            </w:r>
          </w:p>
        </w:tc>
        <w:tc>
          <w:tcPr>
            <w:tcW w:w="1934" w:type="dxa"/>
            <w:tcBorders>
              <w:top w:val="nil"/>
              <w:left w:val="nil"/>
              <w:bottom w:val="single" w:sz="12" w:space="0" w:color="auto"/>
              <w:right w:val="nil"/>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11</w:t>
            </w:r>
          </w:p>
        </w:tc>
        <w:tc>
          <w:tcPr>
            <w:tcW w:w="816" w:type="dxa"/>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EFRR ESF</w:t>
            </w:r>
          </w:p>
        </w:tc>
      </w:tr>
      <w:tr w:rsidR="00470F32" w:rsidRPr="005C1A66" w:rsidTr="00F006E5">
        <w:trPr>
          <w:trHeight w:val="525"/>
        </w:trPr>
        <w:tc>
          <w:tcPr>
            <w:tcW w:w="724"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7</w:t>
            </w:r>
          </w:p>
        </w:tc>
        <w:tc>
          <w:tcPr>
            <w:tcW w:w="269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Technická pomoc (TP)</w:t>
            </w:r>
          </w:p>
        </w:tc>
        <w:tc>
          <w:tcPr>
            <w:tcW w:w="1600" w:type="dxa"/>
            <w:tcBorders>
              <w:top w:val="nil"/>
              <w:left w:val="nil"/>
              <w:bottom w:val="single" w:sz="12" w:space="0" w:color="auto"/>
              <w:right w:val="nil"/>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ÚV SR</w:t>
            </w:r>
          </w:p>
        </w:tc>
        <w:tc>
          <w:tcPr>
            <w:tcW w:w="1934" w:type="dxa"/>
            <w:tcBorders>
              <w:top w:val="nil"/>
              <w:left w:val="nil"/>
              <w:bottom w:val="single" w:sz="12" w:space="0" w:color="auto"/>
              <w:right w:val="nil"/>
            </w:tcBorders>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11</w:t>
            </w:r>
          </w:p>
        </w:tc>
        <w:tc>
          <w:tcPr>
            <w:tcW w:w="816" w:type="dxa"/>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xml:space="preserve">EFRR </w:t>
            </w:r>
          </w:p>
        </w:tc>
      </w:tr>
      <w:tr w:rsidR="00470F32" w:rsidRPr="005C1A66" w:rsidTr="00F006E5">
        <w:trPr>
          <w:trHeight w:val="315"/>
        </w:trPr>
        <w:tc>
          <w:tcPr>
            <w:tcW w:w="724" w:type="dxa"/>
            <w:tcBorders>
              <w:top w:val="nil"/>
              <w:left w:val="single" w:sz="12" w:space="0" w:color="auto"/>
              <w:bottom w:val="single" w:sz="12" w:space="0" w:color="auto"/>
              <w:right w:val="single" w:sz="8" w:space="0" w:color="auto"/>
            </w:tcBorders>
            <w:shd w:val="clear" w:color="auto" w:fill="FFFFFF"/>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8</w:t>
            </w:r>
          </w:p>
        </w:tc>
        <w:tc>
          <w:tcPr>
            <w:tcW w:w="2693" w:type="dxa"/>
            <w:tcBorders>
              <w:top w:val="nil"/>
              <w:left w:val="nil"/>
              <w:bottom w:val="single" w:sz="12" w:space="0" w:color="auto"/>
              <w:right w:val="single" w:sz="8" w:space="0" w:color="auto"/>
            </w:tcBorders>
            <w:shd w:val="clear" w:color="auto" w:fill="FFFFFF"/>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Rozvoj vidieka</w:t>
            </w:r>
          </w:p>
        </w:tc>
        <w:tc>
          <w:tcPr>
            <w:tcW w:w="1600" w:type="dxa"/>
            <w:tcBorders>
              <w:top w:val="nil"/>
              <w:left w:val="nil"/>
              <w:bottom w:val="single" w:sz="12" w:space="0" w:color="auto"/>
              <w:right w:val="nil"/>
            </w:tcBorders>
            <w:shd w:val="clear" w:color="auto" w:fill="FFFFFF"/>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MPaRV  SR</w:t>
            </w:r>
          </w:p>
        </w:tc>
        <w:tc>
          <w:tcPr>
            <w:tcW w:w="1934" w:type="dxa"/>
            <w:tcBorders>
              <w:top w:val="nil"/>
              <w:left w:val="nil"/>
              <w:bottom w:val="single" w:sz="12" w:space="0" w:color="auto"/>
              <w:right w:val="nil"/>
            </w:tcBorders>
            <w:shd w:val="clear" w:color="auto" w:fill="FFFFFF"/>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shd w:val="clear" w:color="auto" w:fill="FFFFFF"/>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w:t>
            </w:r>
          </w:p>
        </w:tc>
        <w:tc>
          <w:tcPr>
            <w:tcW w:w="816" w:type="dxa"/>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EPFRV</w:t>
            </w:r>
          </w:p>
        </w:tc>
      </w:tr>
      <w:tr w:rsidR="00470F32" w:rsidRPr="005C1A66" w:rsidTr="00F006E5">
        <w:trPr>
          <w:trHeight w:val="525"/>
        </w:trPr>
        <w:tc>
          <w:tcPr>
            <w:tcW w:w="724" w:type="dxa"/>
            <w:tcBorders>
              <w:top w:val="nil"/>
              <w:left w:val="single" w:sz="12" w:space="0" w:color="auto"/>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9</w:t>
            </w:r>
          </w:p>
        </w:tc>
        <w:tc>
          <w:tcPr>
            <w:tcW w:w="2693" w:type="dxa"/>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Rybné hospodárstvo</w:t>
            </w:r>
          </w:p>
        </w:tc>
        <w:tc>
          <w:tcPr>
            <w:tcW w:w="1600" w:type="dxa"/>
            <w:tcBorders>
              <w:top w:val="nil"/>
              <w:left w:val="nil"/>
              <w:bottom w:val="single" w:sz="12" w:space="0" w:color="auto"/>
              <w:right w:val="nil"/>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MPaRV  SR</w:t>
            </w:r>
          </w:p>
        </w:tc>
        <w:tc>
          <w:tcPr>
            <w:tcW w:w="1934" w:type="dxa"/>
            <w:tcBorders>
              <w:top w:val="nil"/>
              <w:left w:val="nil"/>
              <w:bottom w:val="single" w:sz="12" w:space="0" w:color="auto"/>
              <w:right w:val="nil"/>
            </w:tcBorders>
            <w:shd w:val="clear" w:color="auto" w:fill="D9D9D9"/>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shd w:val="clear" w:color="auto" w:fill="D9D9D9"/>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w:t>
            </w:r>
          </w:p>
        </w:tc>
        <w:tc>
          <w:tcPr>
            <w:tcW w:w="816" w:type="dxa"/>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EFNRH</w:t>
            </w:r>
          </w:p>
        </w:tc>
      </w:tr>
      <w:tr w:rsidR="00470F32" w:rsidRPr="005C1A66" w:rsidTr="00F006E5">
        <w:trPr>
          <w:trHeight w:val="525"/>
        </w:trPr>
        <w:tc>
          <w:tcPr>
            <w:tcW w:w="724" w:type="dxa"/>
            <w:tcBorders>
              <w:top w:val="nil"/>
              <w:left w:val="single" w:sz="12" w:space="0" w:color="auto"/>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10</w:t>
            </w:r>
          </w:p>
        </w:tc>
        <w:tc>
          <w:tcPr>
            <w:tcW w:w="269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Európska územná spolupráca</w:t>
            </w:r>
          </w:p>
        </w:tc>
        <w:tc>
          <w:tcPr>
            <w:tcW w:w="1600" w:type="dxa"/>
            <w:tcBorders>
              <w:top w:val="nil"/>
              <w:left w:val="nil"/>
              <w:bottom w:val="single" w:sz="12" w:space="0" w:color="auto"/>
              <w:right w:val="nil"/>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w:t>
            </w:r>
          </w:p>
        </w:tc>
        <w:tc>
          <w:tcPr>
            <w:tcW w:w="1934" w:type="dxa"/>
            <w:tcBorders>
              <w:top w:val="nil"/>
              <w:left w:val="nil"/>
              <w:bottom w:val="single" w:sz="12" w:space="0" w:color="auto"/>
              <w:right w:val="nil"/>
            </w:tcBorders>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w:t>
            </w:r>
          </w:p>
        </w:tc>
        <w:tc>
          <w:tcPr>
            <w:tcW w:w="816" w:type="dxa"/>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EFRR</w:t>
            </w:r>
          </w:p>
        </w:tc>
      </w:tr>
      <w:tr w:rsidR="00470F32" w:rsidRPr="005C1A66" w:rsidTr="00F006E5">
        <w:trPr>
          <w:trHeight w:val="525"/>
        </w:trPr>
        <w:tc>
          <w:tcPr>
            <w:tcW w:w="724" w:type="dxa"/>
            <w:tcBorders>
              <w:top w:val="nil"/>
              <w:left w:val="single" w:sz="12" w:space="0" w:color="auto"/>
              <w:bottom w:val="single" w:sz="12" w:space="0" w:color="auto"/>
              <w:right w:val="single" w:sz="8" w:space="0" w:color="auto"/>
            </w:tcBorders>
            <w:shd w:val="clear" w:color="auto" w:fill="FFFFFF"/>
            <w:tcMar>
              <w:top w:w="0" w:type="dxa"/>
              <w:left w:w="70" w:type="dxa"/>
              <w:bottom w:w="0" w:type="dxa"/>
              <w:right w:w="70" w:type="dxa"/>
            </w:tcMar>
            <w:vAlign w:val="center"/>
            <w:hideMark/>
          </w:tcPr>
          <w:p w:rsidR="00470F32" w:rsidRPr="005C1A66" w:rsidRDefault="00470F32" w:rsidP="00F006E5">
            <w:pPr>
              <w:jc w:val="right"/>
              <w:rPr>
                <w:rFonts w:ascii="Arial" w:eastAsiaTheme="minorHAnsi" w:hAnsi="Arial" w:cs="Arial"/>
                <w:color w:val="000000"/>
                <w:sz w:val="22"/>
                <w:szCs w:val="22"/>
              </w:rPr>
            </w:pPr>
            <w:r w:rsidRPr="005C1A66">
              <w:rPr>
                <w:rFonts w:ascii="Arial" w:hAnsi="Arial" w:cs="Arial"/>
                <w:color w:val="000000"/>
                <w:sz w:val="22"/>
                <w:szCs w:val="22"/>
              </w:rPr>
              <w:t>11</w:t>
            </w:r>
          </w:p>
        </w:tc>
        <w:tc>
          <w:tcPr>
            <w:tcW w:w="2693" w:type="dxa"/>
            <w:tcBorders>
              <w:top w:val="nil"/>
              <w:left w:val="nil"/>
              <w:bottom w:val="single" w:sz="12" w:space="0" w:color="auto"/>
              <w:right w:val="single" w:sz="8" w:space="0" w:color="auto"/>
            </w:tcBorders>
            <w:shd w:val="clear" w:color="auto" w:fill="FFFFFF"/>
            <w:tcMar>
              <w:top w:w="0" w:type="dxa"/>
              <w:left w:w="70" w:type="dxa"/>
              <w:bottom w:w="0" w:type="dxa"/>
              <w:right w:w="70" w:type="dxa"/>
            </w:tcMar>
            <w:vAlign w:val="center"/>
            <w:hideMark/>
          </w:tcPr>
          <w:p w:rsidR="00470F32" w:rsidRPr="005C1A66" w:rsidRDefault="00470F32" w:rsidP="00F006E5">
            <w:pPr>
              <w:rPr>
                <w:rFonts w:ascii="Arial" w:eastAsiaTheme="minorHAnsi" w:hAnsi="Arial" w:cs="Arial"/>
                <w:color w:val="000000"/>
                <w:sz w:val="22"/>
                <w:szCs w:val="22"/>
              </w:rPr>
            </w:pPr>
            <w:r w:rsidRPr="005C1A66">
              <w:rPr>
                <w:rFonts w:ascii="Arial" w:hAnsi="Arial" w:cs="Arial"/>
                <w:color w:val="000000"/>
                <w:sz w:val="22"/>
                <w:szCs w:val="22"/>
              </w:rPr>
              <w:t>INTERACT, URBACT</w:t>
            </w:r>
          </w:p>
        </w:tc>
        <w:tc>
          <w:tcPr>
            <w:tcW w:w="1600" w:type="dxa"/>
            <w:tcBorders>
              <w:top w:val="nil"/>
              <w:left w:val="nil"/>
              <w:bottom w:val="single" w:sz="12" w:space="0" w:color="auto"/>
              <w:right w:val="nil"/>
            </w:tcBorders>
            <w:shd w:val="clear" w:color="auto" w:fill="FFFFFF"/>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w:t>
            </w:r>
          </w:p>
        </w:tc>
        <w:tc>
          <w:tcPr>
            <w:tcW w:w="1934" w:type="dxa"/>
            <w:tcBorders>
              <w:top w:val="nil"/>
              <w:left w:val="nil"/>
              <w:bottom w:val="single" w:sz="12" w:space="0" w:color="auto"/>
              <w:right w:val="nil"/>
            </w:tcBorders>
            <w:shd w:val="clear" w:color="auto" w:fill="FFFFFF"/>
            <w:tcMar>
              <w:top w:w="0" w:type="dxa"/>
              <w:left w:w="70" w:type="dxa"/>
              <w:bottom w:w="0" w:type="dxa"/>
              <w:right w:w="70" w:type="dxa"/>
            </w:tcMar>
            <w:vAlign w:val="center"/>
            <w:hideMark/>
          </w:tcPr>
          <w:p w:rsidR="00470F32" w:rsidRPr="005C1A66" w:rsidRDefault="00470F32" w:rsidP="00F006E5">
            <w:pPr>
              <w:rPr>
                <w:rFonts w:ascii="Arial" w:hAnsi="Arial" w:cs="Arial"/>
                <w:sz w:val="22"/>
                <w:szCs w:val="22"/>
              </w:rPr>
            </w:pPr>
          </w:p>
        </w:tc>
        <w:tc>
          <w:tcPr>
            <w:tcW w:w="1603" w:type="dxa"/>
            <w:tcBorders>
              <w:top w:val="nil"/>
              <w:left w:val="nil"/>
              <w:bottom w:val="single" w:sz="12" w:space="0" w:color="auto"/>
              <w:right w:val="single" w:sz="8" w:space="0" w:color="auto"/>
            </w:tcBorders>
            <w:shd w:val="clear" w:color="auto" w:fill="FFFFFF"/>
            <w:tcMar>
              <w:top w:w="0" w:type="dxa"/>
              <w:left w:w="70" w:type="dxa"/>
              <w:bottom w:w="0" w:type="dxa"/>
              <w:right w:w="70" w:type="dxa"/>
            </w:tcMar>
            <w:vAlign w:val="center"/>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 </w:t>
            </w:r>
          </w:p>
        </w:tc>
        <w:tc>
          <w:tcPr>
            <w:tcW w:w="816" w:type="dxa"/>
            <w:tcBorders>
              <w:top w:val="nil"/>
              <w:left w:val="nil"/>
              <w:bottom w:val="single" w:sz="12" w:space="0" w:color="auto"/>
              <w:right w:val="single" w:sz="12" w:space="0" w:color="auto"/>
            </w:tcBorders>
            <w:noWrap/>
            <w:tcMar>
              <w:top w:w="0" w:type="dxa"/>
              <w:left w:w="70" w:type="dxa"/>
              <w:bottom w:w="0" w:type="dxa"/>
              <w:right w:w="70" w:type="dxa"/>
            </w:tcMar>
            <w:vAlign w:val="bottom"/>
            <w:hideMark/>
          </w:tcPr>
          <w:p w:rsidR="00470F32" w:rsidRPr="005C1A66" w:rsidRDefault="00470F32" w:rsidP="00F006E5">
            <w:pPr>
              <w:jc w:val="center"/>
              <w:rPr>
                <w:rFonts w:ascii="Arial" w:eastAsiaTheme="minorHAnsi" w:hAnsi="Arial" w:cs="Arial"/>
                <w:color w:val="000000"/>
                <w:sz w:val="22"/>
                <w:szCs w:val="22"/>
              </w:rPr>
            </w:pPr>
            <w:r w:rsidRPr="005C1A66">
              <w:rPr>
                <w:rFonts w:ascii="Arial" w:hAnsi="Arial" w:cs="Arial"/>
                <w:color w:val="000000"/>
                <w:sz w:val="22"/>
                <w:szCs w:val="22"/>
              </w:rPr>
              <w:t>EFRR</w:t>
            </w:r>
          </w:p>
        </w:tc>
      </w:tr>
    </w:tbl>
    <w:p w:rsidR="00470F32" w:rsidRPr="005C1A66" w:rsidRDefault="00470F32" w:rsidP="00470F32">
      <w:pPr>
        <w:ind w:left="851" w:hanging="851"/>
        <w:rPr>
          <w:rFonts w:ascii="Arial" w:eastAsiaTheme="minorHAnsi" w:hAnsi="Arial" w:cs="Arial"/>
          <w:sz w:val="22"/>
          <w:szCs w:val="22"/>
        </w:rPr>
      </w:pPr>
      <w:r w:rsidRPr="005C1A66">
        <w:rPr>
          <w:rFonts w:ascii="Arial" w:hAnsi="Arial" w:cs="Arial"/>
          <w:sz w:val="22"/>
          <w:szCs w:val="22"/>
        </w:rPr>
        <w:t xml:space="preserve">Pozn.:1) * Pre programy Európskej územnej spolupráce, programy Interact a Urbact budú riadiace orgány určené zo strany EK. </w:t>
      </w:r>
    </w:p>
    <w:p w:rsidR="00470F32" w:rsidRPr="005C1A66" w:rsidRDefault="00470F32" w:rsidP="00470F32">
      <w:pPr>
        <w:ind w:left="567" w:hanging="567"/>
        <w:rPr>
          <w:rFonts w:ascii="Arial" w:hAnsi="Arial" w:cs="Arial"/>
          <w:sz w:val="22"/>
          <w:szCs w:val="22"/>
        </w:rPr>
      </w:pPr>
      <w:r w:rsidRPr="005C1A66">
        <w:rPr>
          <w:rFonts w:ascii="Arial" w:hAnsi="Arial" w:cs="Arial"/>
          <w:sz w:val="22"/>
          <w:szCs w:val="22"/>
        </w:rPr>
        <w:t xml:space="preserve">             2) Technická pomoc je súčasť každého operačného programu. </w:t>
      </w:r>
    </w:p>
    <w:p w:rsidR="00470F32" w:rsidRPr="005C1A66" w:rsidRDefault="00470F32" w:rsidP="00470F32">
      <w:pPr>
        <w:rPr>
          <w:rFonts w:ascii="Arial" w:hAnsi="Arial" w:cs="Arial"/>
          <w:sz w:val="22"/>
          <w:szCs w:val="22"/>
          <w:lang w:eastAsia="en-US"/>
        </w:rPr>
      </w:pPr>
    </w:p>
    <w:p w:rsidR="00470F32" w:rsidRDefault="00470F32" w:rsidP="00654EA0">
      <w:pPr>
        <w:jc w:val="both"/>
        <w:rPr>
          <w:rFonts w:ascii="Arial" w:hAnsi="Arial" w:cs="Arial"/>
          <w:b/>
          <w:iCs/>
          <w:sz w:val="22"/>
          <w:szCs w:val="22"/>
        </w:rPr>
      </w:pPr>
    </w:p>
    <w:p w:rsidR="002B2F09" w:rsidRDefault="002B2F09" w:rsidP="00654EA0">
      <w:pPr>
        <w:jc w:val="both"/>
        <w:rPr>
          <w:rFonts w:ascii="Arial" w:hAnsi="Arial" w:cs="Arial"/>
          <w:b/>
          <w:bCs/>
          <w:sz w:val="22"/>
          <w:szCs w:val="22"/>
        </w:rPr>
        <w:sectPr w:rsidR="002B2F09" w:rsidSect="0041061B">
          <w:pgSz w:w="12240" w:h="15840"/>
          <w:pgMar w:top="851" w:right="1417" w:bottom="1135" w:left="1417" w:header="708" w:footer="708" w:gutter="0"/>
          <w:pgNumType w:start="1"/>
          <w:cols w:space="708"/>
          <w:titlePg/>
          <w:docGrid w:linePitch="326"/>
        </w:sectPr>
      </w:pPr>
    </w:p>
    <w:p w:rsidR="00DF62C1" w:rsidRPr="00D75266" w:rsidRDefault="00701503" w:rsidP="00654EA0">
      <w:pPr>
        <w:jc w:val="both"/>
        <w:rPr>
          <w:rFonts w:ascii="Arial" w:hAnsi="Arial" w:cs="Arial"/>
          <w:b/>
          <w:bCs/>
          <w:sz w:val="22"/>
          <w:szCs w:val="22"/>
        </w:rPr>
      </w:pPr>
      <w:r w:rsidRPr="00D75266">
        <w:rPr>
          <w:rFonts w:ascii="Arial" w:hAnsi="Arial" w:cs="Arial"/>
          <w:b/>
          <w:bCs/>
          <w:sz w:val="22"/>
          <w:szCs w:val="22"/>
        </w:rPr>
        <w:lastRenderedPageBreak/>
        <w:t xml:space="preserve">Pozícia BSK pre podporu </w:t>
      </w:r>
      <w:r w:rsidR="00DF62C1" w:rsidRPr="00D75266">
        <w:rPr>
          <w:rFonts w:ascii="Arial" w:hAnsi="Arial" w:cs="Arial"/>
          <w:b/>
          <w:bCs/>
          <w:sz w:val="22"/>
          <w:szCs w:val="22"/>
        </w:rPr>
        <w:t>Integrovan</w:t>
      </w:r>
      <w:r w:rsidRPr="00D75266">
        <w:rPr>
          <w:rFonts w:ascii="Arial" w:hAnsi="Arial" w:cs="Arial"/>
          <w:b/>
          <w:bCs/>
          <w:sz w:val="22"/>
          <w:szCs w:val="22"/>
        </w:rPr>
        <w:t>ého</w:t>
      </w:r>
      <w:r w:rsidR="00DF62C1" w:rsidRPr="00D75266">
        <w:rPr>
          <w:rFonts w:ascii="Arial" w:hAnsi="Arial" w:cs="Arial"/>
          <w:b/>
          <w:bCs/>
          <w:sz w:val="22"/>
          <w:szCs w:val="22"/>
        </w:rPr>
        <w:t xml:space="preserve"> regionáln</w:t>
      </w:r>
      <w:r w:rsidRPr="00D75266">
        <w:rPr>
          <w:rFonts w:ascii="Arial" w:hAnsi="Arial" w:cs="Arial"/>
          <w:b/>
          <w:bCs/>
          <w:sz w:val="22"/>
          <w:szCs w:val="22"/>
        </w:rPr>
        <w:t xml:space="preserve">eho </w:t>
      </w:r>
      <w:r w:rsidR="00DF62C1" w:rsidRPr="00D75266">
        <w:rPr>
          <w:rFonts w:ascii="Arial" w:hAnsi="Arial" w:cs="Arial"/>
          <w:b/>
          <w:bCs/>
          <w:sz w:val="22"/>
          <w:szCs w:val="22"/>
        </w:rPr>
        <w:t>operačn</w:t>
      </w:r>
      <w:r w:rsidRPr="00D75266">
        <w:rPr>
          <w:rFonts w:ascii="Arial" w:hAnsi="Arial" w:cs="Arial"/>
          <w:b/>
          <w:bCs/>
          <w:sz w:val="22"/>
          <w:szCs w:val="22"/>
        </w:rPr>
        <w:t>ého</w:t>
      </w:r>
      <w:r w:rsidR="00DF62C1" w:rsidRPr="00D75266">
        <w:rPr>
          <w:rFonts w:ascii="Arial" w:hAnsi="Arial" w:cs="Arial"/>
          <w:b/>
          <w:bCs/>
          <w:sz w:val="22"/>
          <w:szCs w:val="22"/>
        </w:rPr>
        <w:t xml:space="preserve"> program</w:t>
      </w:r>
      <w:r w:rsidRPr="00D75266">
        <w:rPr>
          <w:rFonts w:ascii="Arial" w:hAnsi="Arial" w:cs="Arial"/>
          <w:b/>
          <w:bCs/>
          <w:sz w:val="22"/>
          <w:szCs w:val="22"/>
        </w:rPr>
        <w:t>u (IROP)</w:t>
      </w:r>
      <w:r w:rsidR="00DF62C1" w:rsidRPr="00D75266">
        <w:rPr>
          <w:rFonts w:ascii="Arial" w:hAnsi="Arial" w:cs="Arial"/>
          <w:b/>
          <w:bCs/>
          <w:sz w:val="22"/>
          <w:szCs w:val="22"/>
        </w:rPr>
        <w:t xml:space="preserve"> </w:t>
      </w:r>
    </w:p>
    <w:p w:rsidR="00DF62C1" w:rsidRPr="00D75266" w:rsidRDefault="00DF62C1" w:rsidP="00654EA0">
      <w:pPr>
        <w:jc w:val="both"/>
        <w:rPr>
          <w:rFonts w:ascii="Arial" w:hAnsi="Arial" w:cs="Arial"/>
          <w:bCs/>
          <w:sz w:val="22"/>
          <w:szCs w:val="22"/>
        </w:rPr>
      </w:pPr>
    </w:p>
    <w:p w:rsidR="00D75266" w:rsidRPr="00D75266" w:rsidRDefault="00D75266" w:rsidP="00D75266">
      <w:pPr>
        <w:jc w:val="both"/>
        <w:rPr>
          <w:rFonts w:ascii="Arial" w:hAnsi="Arial" w:cs="Arial"/>
          <w:bCs/>
          <w:sz w:val="22"/>
          <w:szCs w:val="22"/>
        </w:rPr>
      </w:pPr>
      <w:r w:rsidRPr="00D75266">
        <w:rPr>
          <w:rFonts w:ascii="Arial" w:hAnsi="Arial" w:cs="Arial"/>
          <w:b/>
          <w:bCs/>
          <w:sz w:val="22"/>
          <w:szCs w:val="22"/>
        </w:rPr>
        <w:t>Bratislavský samosprávny kraj podporuje vytvorenie Integrovaného regionálneho operačného programu (IROP) z dôvodu predpokladaných viacerých pozitívnych dopadov na kraj</w:t>
      </w:r>
      <w:r w:rsidRPr="00D75266">
        <w:rPr>
          <w:rFonts w:ascii="Arial" w:hAnsi="Arial" w:cs="Arial"/>
          <w:bCs/>
          <w:sz w:val="22"/>
          <w:szCs w:val="22"/>
        </w:rPr>
        <w:t xml:space="preserve">. BSK predstavuje územie s pomerne špecifickými potrebami, vzhľadom na výrazné vnútroregionálne rozdiely (odlišný stupeň rozvoja centra a periférnych oblastí v regióne), ako aj vzhľadom na potrebu riešenia špecifických požiadaviek spôsobených prítomnosťou Hlavného mesta SR Bratislavy. </w:t>
      </w:r>
    </w:p>
    <w:p w:rsidR="00D75266" w:rsidRPr="00D75266" w:rsidRDefault="00D75266" w:rsidP="00D75266">
      <w:pPr>
        <w:jc w:val="both"/>
        <w:rPr>
          <w:rFonts w:ascii="Arial" w:hAnsi="Arial" w:cs="Arial"/>
          <w:bCs/>
          <w:sz w:val="22"/>
          <w:szCs w:val="22"/>
        </w:rPr>
      </w:pPr>
    </w:p>
    <w:p w:rsidR="00D75266" w:rsidRPr="00D75266" w:rsidRDefault="00D75266" w:rsidP="00D75266">
      <w:pPr>
        <w:jc w:val="both"/>
        <w:rPr>
          <w:rFonts w:ascii="Arial" w:hAnsi="Arial" w:cs="Arial"/>
          <w:bCs/>
          <w:sz w:val="22"/>
          <w:szCs w:val="22"/>
        </w:rPr>
      </w:pPr>
      <w:r w:rsidRPr="00D75266">
        <w:rPr>
          <w:rFonts w:ascii="Arial" w:hAnsi="Arial" w:cs="Arial"/>
          <w:bCs/>
          <w:sz w:val="22"/>
          <w:szCs w:val="22"/>
        </w:rPr>
        <w:t xml:space="preserve">Vďaka realizácii programu sa </w:t>
      </w:r>
      <w:r w:rsidRPr="00D75266">
        <w:rPr>
          <w:rFonts w:ascii="Arial" w:hAnsi="Arial" w:cs="Arial"/>
          <w:b/>
          <w:bCs/>
          <w:sz w:val="22"/>
          <w:szCs w:val="22"/>
        </w:rPr>
        <w:t>napomôže k znižovaniu</w:t>
      </w:r>
      <w:r w:rsidRPr="00D75266">
        <w:rPr>
          <w:rFonts w:ascii="Arial" w:hAnsi="Arial" w:cs="Arial"/>
          <w:bCs/>
          <w:sz w:val="22"/>
          <w:szCs w:val="22"/>
        </w:rPr>
        <w:t xml:space="preserve"> </w:t>
      </w:r>
      <w:r w:rsidRPr="00D75266">
        <w:rPr>
          <w:rFonts w:ascii="Arial" w:hAnsi="Arial" w:cs="Arial"/>
          <w:b/>
          <w:bCs/>
          <w:sz w:val="22"/>
          <w:szCs w:val="22"/>
        </w:rPr>
        <w:t>vnútroregionálnych (subregionálnych) rozdielov</w:t>
      </w:r>
      <w:r w:rsidRPr="00D75266">
        <w:rPr>
          <w:rFonts w:ascii="Arial" w:hAnsi="Arial" w:cs="Arial"/>
          <w:bCs/>
          <w:sz w:val="22"/>
          <w:szCs w:val="22"/>
        </w:rPr>
        <w:t>, pri využití synergických efektov vo funkčných územných jednotkách. Dosiahne sa tiež zintenzívnenie vzťahu medzi samosprávou a občanmi, k</w:t>
      </w:r>
      <w:r>
        <w:rPr>
          <w:rFonts w:ascii="Arial" w:hAnsi="Arial" w:cs="Arial"/>
          <w:bCs/>
          <w:sz w:val="22"/>
          <w:szCs w:val="22"/>
        </w:rPr>
        <w:t>omunitou a podnikateľmi, a umožnení sa implementácia</w:t>
      </w:r>
      <w:r w:rsidRPr="00D75266">
        <w:rPr>
          <w:rFonts w:ascii="Arial" w:hAnsi="Arial" w:cs="Arial"/>
          <w:bCs/>
          <w:sz w:val="22"/>
          <w:szCs w:val="22"/>
        </w:rPr>
        <w:t xml:space="preserve"> integrovaných stratégií rozvoja miestnej a regionálnej úrovne. </w:t>
      </w:r>
    </w:p>
    <w:p w:rsidR="00D75266" w:rsidRPr="00D75266" w:rsidRDefault="00D75266" w:rsidP="00D75266">
      <w:pPr>
        <w:jc w:val="both"/>
        <w:rPr>
          <w:rFonts w:ascii="Arial" w:hAnsi="Arial" w:cs="Arial"/>
          <w:bCs/>
          <w:sz w:val="22"/>
          <w:szCs w:val="22"/>
        </w:rPr>
      </w:pPr>
    </w:p>
    <w:p w:rsidR="00D75266" w:rsidRPr="00D75266" w:rsidRDefault="00D75266" w:rsidP="00D75266">
      <w:pPr>
        <w:jc w:val="both"/>
        <w:rPr>
          <w:rFonts w:ascii="Arial" w:hAnsi="Arial" w:cs="Arial"/>
          <w:sz w:val="22"/>
          <w:szCs w:val="22"/>
        </w:rPr>
      </w:pPr>
      <w:r w:rsidRPr="00D75266">
        <w:rPr>
          <w:rFonts w:ascii="Arial" w:hAnsi="Arial" w:cs="Arial"/>
          <w:b/>
          <w:sz w:val="22"/>
          <w:szCs w:val="22"/>
        </w:rPr>
        <w:t>BSK je ako jediný slovenský región</w:t>
      </w:r>
      <w:r w:rsidRPr="00D75266">
        <w:rPr>
          <w:rFonts w:ascii="Arial" w:hAnsi="Arial" w:cs="Arial"/>
          <w:sz w:val="22"/>
          <w:szCs w:val="22"/>
        </w:rPr>
        <w:t xml:space="preserve"> </w:t>
      </w:r>
      <w:r w:rsidRPr="00D75266">
        <w:rPr>
          <w:rFonts w:ascii="Arial" w:hAnsi="Arial" w:cs="Arial"/>
          <w:b/>
          <w:sz w:val="22"/>
          <w:szCs w:val="22"/>
        </w:rPr>
        <w:t>zaradený do kategórie viac rozvinutých regiónov</w:t>
      </w:r>
      <w:r w:rsidRPr="00D75266">
        <w:rPr>
          <w:rFonts w:ascii="Arial" w:hAnsi="Arial" w:cs="Arial"/>
          <w:sz w:val="22"/>
          <w:szCs w:val="22"/>
        </w:rPr>
        <w:t xml:space="preserve"> – do cieľa regionálna konkurencieschopnosť a zamestnanosť (HDP viac ako 90% priemeru HDP EÚ27).  Napriek vysokému stupňu rozvoja hl. mesta SR Bratislava je Bratislavský samosprávny kraj regiónom s veľkými vnútroregionálnymi rozdielmi. Osobitne významný je tento fakt v súvislosti s </w:t>
      </w:r>
      <w:r w:rsidRPr="00D75266">
        <w:rPr>
          <w:rFonts w:ascii="Arial" w:hAnsi="Arial" w:cs="Arial"/>
          <w:b/>
          <w:sz w:val="22"/>
          <w:szCs w:val="22"/>
        </w:rPr>
        <w:t>obmedzenou možnosťou čerpania prostriedkov zo štrukturálnych fondov pre vidiecke obce a periférne oblasti kraja, ktoré trpia podobnými štrukturálnymi problémami ako zvyšok Slovenska</w:t>
      </w:r>
      <w:r w:rsidRPr="00D75266">
        <w:rPr>
          <w:rFonts w:ascii="Arial" w:hAnsi="Arial" w:cs="Arial"/>
          <w:sz w:val="22"/>
          <w:szCs w:val="22"/>
        </w:rPr>
        <w:t xml:space="preserve">, avšak kvôli administratívnemu zaradeniu do Bratislavského kraja im </w:t>
      </w:r>
      <w:r w:rsidRPr="00D75266">
        <w:rPr>
          <w:rFonts w:ascii="Arial" w:hAnsi="Arial" w:cs="Arial"/>
          <w:b/>
          <w:sz w:val="22"/>
          <w:szCs w:val="22"/>
        </w:rPr>
        <w:t>nie je umožnené získať nevyhnutnú podporu pre oblasti základnej infraštruktúry, školskú, sociálnu a zdravotnícku sféru</w:t>
      </w:r>
      <w:r w:rsidRPr="00D75266">
        <w:rPr>
          <w:rFonts w:ascii="Arial" w:hAnsi="Arial" w:cs="Arial"/>
          <w:sz w:val="22"/>
          <w:szCs w:val="22"/>
        </w:rPr>
        <w:t>. Vysoká dynamika rastu regionálneho HDP súvisí s metropolitným charakterom regiónu BSK. Takáto situácia nie je len slovenským špecifikom a s obdobným javom sa môžeme stretnúť vo viacerých krajinách EÚ. Existuje silná polarizácia medzi hlavným mestom Bratislava a okolitým územím BSK v celom rade ukazovateľov, ktoré sú rozhodujúce pre životnú úroveň obyvateľstva (HDP/obyvateľa, priemerné mzdy, nezamestnanosť a pod.)</w:t>
      </w:r>
    </w:p>
    <w:p w:rsidR="00D75266" w:rsidRPr="00D75266" w:rsidRDefault="00D75266" w:rsidP="00D75266">
      <w:pPr>
        <w:jc w:val="both"/>
        <w:rPr>
          <w:rFonts w:ascii="Arial" w:hAnsi="Arial" w:cs="Arial"/>
          <w:bCs/>
          <w:sz w:val="22"/>
          <w:szCs w:val="22"/>
        </w:rPr>
      </w:pPr>
    </w:p>
    <w:p w:rsidR="00D75266" w:rsidRPr="00D75266" w:rsidRDefault="00D75266" w:rsidP="00D75266">
      <w:pPr>
        <w:jc w:val="both"/>
        <w:rPr>
          <w:rFonts w:ascii="Arial" w:hAnsi="Arial" w:cs="Arial"/>
          <w:bCs/>
          <w:sz w:val="22"/>
          <w:szCs w:val="22"/>
        </w:rPr>
      </w:pPr>
      <w:r w:rsidRPr="00D75266">
        <w:rPr>
          <w:rFonts w:ascii="Arial" w:hAnsi="Arial" w:cs="Arial"/>
          <w:bCs/>
          <w:sz w:val="22"/>
          <w:szCs w:val="22"/>
        </w:rPr>
        <w:t xml:space="preserve">IROP bude zameraný na </w:t>
      </w:r>
      <w:r w:rsidRPr="00D75266">
        <w:rPr>
          <w:rFonts w:ascii="Arial" w:hAnsi="Arial" w:cs="Arial"/>
          <w:b/>
          <w:bCs/>
          <w:sz w:val="22"/>
          <w:szCs w:val="22"/>
        </w:rPr>
        <w:t>podporu investícií do územia, regiónu</w:t>
      </w:r>
      <w:r w:rsidRPr="00D75266">
        <w:rPr>
          <w:rFonts w:ascii="Arial" w:hAnsi="Arial" w:cs="Arial"/>
          <w:bCs/>
          <w:sz w:val="22"/>
          <w:szCs w:val="22"/>
        </w:rPr>
        <w:t xml:space="preserve"> – až </w:t>
      </w:r>
      <w:r w:rsidRPr="00D75266">
        <w:rPr>
          <w:rFonts w:ascii="Arial" w:hAnsi="Arial" w:cs="Arial"/>
          <w:b/>
          <w:bCs/>
          <w:sz w:val="22"/>
          <w:szCs w:val="22"/>
        </w:rPr>
        <w:t>80 % prostriedkov bude alokovaných na aktivity Integrovaných územných investícií – IUI</w:t>
      </w:r>
      <w:r w:rsidRPr="00D75266">
        <w:rPr>
          <w:rFonts w:ascii="Arial" w:hAnsi="Arial" w:cs="Arial"/>
          <w:bCs/>
          <w:sz w:val="22"/>
          <w:szCs w:val="22"/>
        </w:rPr>
        <w:t>, ktoré zabezpečia smerovanie prostriedkov priamo na potreby samospráv v regióne. Zvyšných 20 % prostriedkov bude určených pre pokrytie potrieb Vyšších územných celkov.</w:t>
      </w:r>
    </w:p>
    <w:p w:rsidR="00D75266" w:rsidRPr="00D75266" w:rsidRDefault="00D75266" w:rsidP="00D75266">
      <w:pPr>
        <w:jc w:val="both"/>
        <w:rPr>
          <w:rFonts w:ascii="Arial" w:hAnsi="Arial" w:cs="Arial"/>
          <w:b/>
          <w:bCs/>
          <w:sz w:val="22"/>
          <w:szCs w:val="22"/>
        </w:rPr>
      </w:pPr>
    </w:p>
    <w:p w:rsidR="00D75266" w:rsidRPr="00D75266" w:rsidRDefault="00D75266" w:rsidP="00D75266">
      <w:pPr>
        <w:jc w:val="both"/>
        <w:rPr>
          <w:rFonts w:ascii="Arial" w:hAnsi="Arial" w:cs="Arial"/>
          <w:b/>
          <w:bCs/>
          <w:sz w:val="22"/>
          <w:szCs w:val="22"/>
        </w:rPr>
      </w:pPr>
      <w:r w:rsidRPr="00D75266">
        <w:rPr>
          <w:rFonts w:ascii="Arial" w:hAnsi="Arial" w:cs="Arial"/>
          <w:b/>
          <w:bCs/>
          <w:sz w:val="22"/>
          <w:szCs w:val="22"/>
        </w:rPr>
        <w:t>Návrh a</w:t>
      </w:r>
      <w:r w:rsidR="00010AFA">
        <w:rPr>
          <w:rFonts w:ascii="Arial" w:hAnsi="Arial" w:cs="Arial"/>
          <w:b/>
          <w:bCs/>
          <w:sz w:val="22"/>
          <w:szCs w:val="22"/>
        </w:rPr>
        <w:t>ktivít pre realizáciu v rámci IU</w:t>
      </w:r>
      <w:r w:rsidRPr="00D75266">
        <w:rPr>
          <w:rFonts w:ascii="Arial" w:hAnsi="Arial" w:cs="Arial"/>
          <w:b/>
          <w:bCs/>
          <w:sz w:val="22"/>
          <w:szCs w:val="22"/>
        </w:rPr>
        <w:t>I:</w:t>
      </w:r>
    </w:p>
    <w:p w:rsidR="00D75266" w:rsidRPr="00D75266" w:rsidRDefault="00D75266" w:rsidP="00D75266">
      <w:pPr>
        <w:pStyle w:val="Odsekzoznamu"/>
        <w:numPr>
          <w:ilvl w:val="0"/>
          <w:numId w:val="30"/>
        </w:numPr>
        <w:spacing w:after="200" w:line="276" w:lineRule="auto"/>
        <w:jc w:val="both"/>
        <w:rPr>
          <w:rFonts w:ascii="Arial" w:hAnsi="Arial" w:cs="Arial"/>
          <w:bCs/>
          <w:sz w:val="22"/>
          <w:szCs w:val="22"/>
        </w:rPr>
      </w:pPr>
      <w:r w:rsidRPr="00D75266">
        <w:rPr>
          <w:rFonts w:ascii="Arial" w:hAnsi="Arial" w:cs="Arial"/>
          <w:bCs/>
          <w:sz w:val="22"/>
          <w:szCs w:val="22"/>
        </w:rPr>
        <w:t>Znižovanie energetickej náročnosti verejných budov</w:t>
      </w:r>
    </w:p>
    <w:p w:rsidR="00D75266" w:rsidRPr="00D75266" w:rsidRDefault="00D75266" w:rsidP="00D75266">
      <w:pPr>
        <w:pStyle w:val="Odsekzoznamu"/>
        <w:numPr>
          <w:ilvl w:val="0"/>
          <w:numId w:val="30"/>
        </w:numPr>
        <w:spacing w:after="200" w:line="276" w:lineRule="auto"/>
        <w:jc w:val="both"/>
        <w:rPr>
          <w:rFonts w:ascii="Arial" w:hAnsi="Arial" w:cs="Arial"/>
          <w:bCs/>
          <w:sz w:val="22"/>
          <w:szCs w:val="22"/>
        </w:rPr>
      </w:pPr>
      <w:r w:rsidRPr="00D75266">
        <w:rPr>
          <w:rFonts w:ascii="Arial" w:hAnsi="Arial" w:cs="Arial"/>
          <w:bCs/>
          <w:sz w:val="22"/>
          <w:szCs w:val="22"/>
        </w:rPr>
        <w:t>Revitali</w:t>
      </w:r>
      <w:r w:rsidR="008F2715">
        <w:rPr>
          <w:rFonts w:ascii="Arial" w:hAnsi="Arial" w:cs="Arial"/>
          <w:bCs/>
          <w:sz w:val="22"/>
          <w:szCs w:val="22"/>
        </w:rPr>
        <w:t xml:space="preserve">zácia verejných priestranstiev </w:t>
      </w:r>
      <w:r w:rsidRPr="00D75266">
        <w:rPr>
          <w:rFonts w:ascii="Arial" w:hAnsi="Arial" w:cs="Arial"/>
          <w:bCs/>
          <w:sz w:val="22"/>
          <w:szCs w:val="22"/>
        </w:rPr>
        <w:t>a športových areálov s funkčným využitím pre potreby obyvateľov územia</w:t>
      </w:r>
    </w:p>
    <w:p w:rsidR="00D75266" w:rsidRPr="00D75266" w:rsidRDefault="00D75266" w:rsidP="00D75266">
      <w:pPr>
        <w:pStyle w:val="Odsekzoznamu"/>
        <w:numPr>
          <w:ilvl w:val="0"/>
          <w:numId w:val="30"/>
        </w:numPr>
        <w:spacing w:after="200" w:line="276" w:lineRule="auto"/>
        <w:jc w:val="both"/>
        <w:rPr>
          <w:rFonts w:ascii="Arial" w:hAnsi="Arial" w:cs="Arial"/>
          <w:bCs/>
          <w:sz w:val="22"/>
          <w:szCs w:val="22"/>
        </w:rPr>
      </w:pPr>
      <w:r w:rsidRPr="00D75266">
        <w:rPr>
          <w:rFonts w:ascii="Arial" w:hAnsi="Arial" w:cs="Arial"/>
          <w:bCs/>
          <w:sz w:val="22"/>
          <w:szCs w:val="22"/>
        </w:rPr>
        <w:t>Podpora zariadení sociálnych služieb na komunitnej báze</w:t>
      </w:r>
    </w:p>
    <w:p w:rsidR="00D75266" w:rsidRPr="00D75266" w:rsidRDefault="00D75266" w:rsidP="00D75266">
      <w:pPr>
        <w:pStyle w:val="Odsekzoznamu"/>
        <w:numPr>
          <w:ilvl w:val="0"/>
          <w:numId w:val="30"/>
        </w:numPr>
        <w:spacing w:after="200" w:line="276" w:lineRule="auto"/>
        <w:jc w:val="both"/>
        <w:rPr>
          <w:rFonts w:ascii="Arial" w:hAnsi="Arial" w:cs="Arial"/>
          <w:bCs/>
          <w:sz w:val="22"/>
          <w:szCs w:val="22"/>
        </w:rPr>
      </w:pPr>
      <w:r w:rsidRPr="00D75266">
        <w:rPr>
          <w:rFonts w:ascii="Arial" w:hAnsi="Arial" w:cs="Arial"/>
          <w:sz w:val="22"/>
          <w:szCs w:val="22"/>
        </w:rPr>
        <w:t>Zvyšovanie dostupnosti kvalitného predškolského a základného vzdelania</w:t>
      </w:r>
    </w:p>
    <w:p w:rsidR="00D75266" w:rsidRPr="00D75266" w:rsidRDefault="00D75266" w:rsidP="00D75266">
      <w:pPr>
        <w:pStyle w:val="Odsekzoznamu"/>
        <w:numPr>
          <w:ilvl w:val="0"/>
          <w:numId w:val="30"/>
        </w:numPr>
        <w:spacing w:after="200" w:line="276" w:lineRule="auto"/>
        <w:jc w:val="both"/>
        <w:rPr>
          <w:rFonts w:ascii="Arial" w:hAnsi="Arial" w:cs="Arial"/>
          <w:bCs/>
          <w:sz w:val="22"/>
          <w:szCs w:val="22"/>
        </w:rPr>
      </w:pPr>
      <w:r w:rsidRPr="00D75266">
        <w:rPr>
          <w:rFonts w:ascii="Arial" w:hAnsi="Arial" w:cs="Arial"/>
          <w:bCs/>
          <w:sz w:val="22"/>
          <w:szCs w:val="22"/>
        </w:rPr>
        <w:t>Podpora obnovy kultúrnych pamiatok vo vlastníctve obce, mesta, VÚC s využitím verejno súkromného partnerstva</w:t>
      </w:r>
    </w:p>
    <w:p w:rsidR="00D75266" w:rsidRPr="00D75266" w:rsidRDefault="00D75266" w:rsidP="00D75266">
      <w:pPr>
        <w:pStyle w:val="Odsekzoznamu"/>
        <w:numPr>
          <w:ilvl w:val="0"/>
          <w:numId w:val="30"/>
        </w:numPr>
        <w:spacing w:after="200" w:line="276" w:lineRule="auto"/>
        <w:jc w:val="both"/>
        <w:rPr>
          <w:rFonts w:ascii="Arial" w:hAnsi="Arial" w:cs="Arial"/>
          <w:bCs/>
          <w:sz w:val="22"/>
          <w:szCs w:val="22"/>
        </w:rPr>
      </w:pPr>
      <w:r w:rsidRPr="00D75266">
        <w:rPr>
          <w:rFonts w:ascii="Arial" w:hAnsi="Arial" w:cs="Arial"/>
          <w:bCs/>
          <w:sz w:val="22"/>
          <w:szCs w:val="22"/>
        </w:rPr>
        <w:t>Rozvoj siete cyklotrás integrovaných do dopravnej infraštruktúry mesta</w:t>
      </w:r>
    </w:p>
    <w:p w:rsidR="00D75266" w:rsidRPr="00D75266" w:rsidRDefault="00D75266" w:rsidP="00D75266">
      <w:pPr>
        <w:pStyle w:val="Odsekzoznamu"/>
        <w:numPr>
          <w:ilvl w:val="0"/>
          <w:numId w:val="30"/>
        </w:numPr>
        <w:spacing w:after="200" w:line="276" w:lineRule="auto"/>
        <w:jc w:val="both"/>
        <w:rPr>
          <w:rFonts w:ascii="Arial" w:hAnsi="Arial" w:cs="Arial"/>
          <w:bCs/>
          <w:sz w:val="22"/>
          <w:szCs w:val="22"/>
        </w:rPr>
      </w:pPr>
      <w:r w:rsidRPr="00D75266">
        <w:rPr>
          <w:rFonts w:ascii="Arial" w:hAnsi="Arial" w:cs="Arial"/>
          <w:bCs/>
          <w:sz w:val="22"/>
          <w:szCs w:val="22"/>
        </w:rPr>
        <w:t>Rozvoj MSP a podpora zakladania nových firiem</w:t>
      </w:r>
    </w:p>
    <w:p w:rsidR="00D75266" w:rsidRPr="00D75266" w:rsidRDefault="00D75266" w:rsidP="00D75266">
      <w:pPr>
        <w:jc w:val="both"/>
        <w:rPr>
          <w:rFonts w:ascii="Arial" w:hAnsi="Arial" w:cs="Arial"/>
          <w:bCs/>
          <w:sz w:val="22"/>
          <w:szCs w:val="22"/>
        </w:rPr>
      </w:pPr>
      <w:r w:rsidRPr="00D75266">
        <w:rPr>
          <w:rFonts w:ascii="Arial" w:hAnsi="Arial" w:cs="Arial"/>
          <w:b/>
          <w:bCs/>
          <w:sz w:val="22"/>
          <w:szCs w:val="22"/>
        </w:rPr>
        <w:t>IROP bude pri implementácii vychádzať z integrovaných stratégií rozvoja územia</w:t>
      </w:r>
      <w:r w:rsidRPr="00D75266">
        <w:rPr>
          <w:rFonts w:ascii="Arial" w:hAnsi="Arial" w:cs="Arial"/>
          <w:bCs/>
          <w:sz w:val="22"/>
          <w:szCs w:val="22"/>
        </w:rPr>
        <w:t>, ktoré umožnia synergie s pozitívnym dopadom na financovanie integrovaných územných investícií pri využití dvoch výhod:</w:t>
      </w:r>
    </w:p>
    <w:p w:rsidR="00D75266" w:rsidRPr="00D75266" w:rsidRDefault="00D75266" w:rsidP="00D75266">
      <w:pPr>
        <w:pStyle w:val="Odsekzoznamu"/>
        <w:numPr>
          <w:ilvl w:val="0"/>
          <w:numId w:val="28"/>
        </w:numPr>
        <w:spacing w:after="200"/>
        <w:jc w:val="both"/>
        <w:rPr>
          <w:rFonts w:ascii="Arial" w:hAnsi="Arial" w:cs="Arial"/>
          <w:bCs/>
          <w:sz w:val="22"/>
          <w:szCs w:val="22"/>
        </w:rPr>
      </w:pPr>
      <w:r w:rsidRPr="00D75266">
        <w:rPr>
          <w:rFonts w:ascii="Arial" w:hAnsi="Arial" w:cs="Arial"/>
          <w:b/>
          <w:bCs/>
          <w:sz w:val="22"/>
          <w:szCs w:val="22"/>
        </w:rPr>
        <w:t>Multicieľovosť</w:t>
      </w:r>
      <w:r w:rsidRPr="00D75266">
        <w:rPr>
          <w:rFonts w:ascii="Arial" w:hAnsi="Arial" w:cs="Arial"/>
          <w:bCs/>
          <w:sz w:val="22"/>
          <w:szCs w:val="22"/>
        </w:rPr>
        <w:t xml:space="preserve"> viaže plnenie viacerých tematických cieľov jednej prioritnej osi, čo prispieva ku komplexnejšiemu rozvoju. </w:t>
      </w:r>
    </w:p>
    <w:p w:rsidR="00D75266" w:rsidRPr="00D75266" w:rsidRDefault="00D75266" w:rsidP="00D75266">
      <w:pPr>
        <w:pStyle w:val="Odsekzoznamu"/>
        <w:numPr>
          <w:ilvl w:val="0"/>
          <w:numId w:val="28"/>
        </w:numPr>
        <w:spacing w:after="200"/>
        <w:jc w:val="both"/>
        <w:rPr>
          <w:rFonts w:ascii="Arial" w:hAnsi="Arial" w:cs="Arial"/>
          <w:bCs/>
          <w:sz w:val="22"/>
          <w:szCs w:val="22"/>
        </w:rPr>
      </w:pPr>
      <w:r w:rsidRPr="00D75266">
        <w:rPr>
          <w:rFonts w:ascii="Arial" w:hAnsi="Arial" w:cs="Arial"/>
          <w:b/>
          <w:bCs/>
          <w:sz w:val="22"/>
          <w:szCs w:val="22"/>
        </w:rPr>
        <w:t>Multifondový prístup</w:t>
      </w:r>
      <w:r w:rsidRPr="00D75266">
        <w:rPr>
          <w:rFonts w:ascii="Arial" w:hAnsi="Arial" w:cs="Arial"/>
          <w:bCs/>
          <w:sz w:val="22"/>
          <w:szCs w:val="22"/>
        </w:rPr>
        <w:t xml:space="preserve">, t.z. kombináciu investícií do ľudských kapacít a infraštruktúry a princíp partnerstva funkčnej územnej jednotky, ktorý je postavený na vedúcom </w:t>
      </w:r>
      <w:r w:rsidRPr="00D75266">
        <w:rPr>
          <w:rFonts w:ascii="Arial" w:hAnsi="Arial" w:cs="Arial"/>
          <w:bCs/>
          <w:sz w:val="22"/>
          <w:szCs w:val="22"/>
        </w:rPr>
        <w:lastRenderedPageBreak/>
        <w:t>partnerovi, projektových a strategických partneroch zodpovedných za realizáciu integrovanej stratégie územného rozvoja miest a</w:t>
      </w:r>
      <w:r w:rsidR="008F2715">
        <w:rPr>
          <w:rFonts w:ascii="Arial" w:hAnsi="Arial" w:cs="Arial"/>
          <w:bCs/>
          <w:sz w:val="22"/>
          <w:szCs w:val="22"/>
        </w:rPr>
        <w:t> </w:t>
      </w:r>
      <w:r w:rsidRPr="00D75266">
        <w:rPr>
          <w:rFonts w:ascii="Arial" w:hAnsi="Arial" w:cs="Arial"/>
          <w:bCs/>
          <w:sz w:val="22"/>
          <w:szCs w:val="22"/>
        </w:rPr>
        <w:t>obcí</w:t>
      </w:r>
      <w:r w:rsidR="008F2715">
        <w:rPr>
          <w:rFonts w:ascii="Arial" w:hAnsi="Arial" w:cs="Arial"/>
          <w:bCs/>
          <w:sz w:val="22"/>
          <w:szCs w:val="22"/>
        </w:rPr>
        <w:t>.</w:t>
      </w:r>
    </w:p>
    <w:p w:rsidR="00D75266" w:rsidRPr="00D75266" w:rsidRDefault="00D75266" w:rsidP="00D75266">
      <w:pPr>
        <w:jc w:val="both"/>
        <w:rPr>
          <w:rFonts w:ascii="Arial" w:hAnsi="Arial" w:cs="Arial"/>
          <w:b/>
          <w:bCs/>
          <w:sz w:val="22"/>
          <w:szCs w:val="22"/>
        </w:rPr>
      </w:pPr>
      <w:r w:rsidRPr="00D75266">
        <w:rPr>
          <w:rFonts w:ascii="Arial" w:hAnsi="Arial" w:cs="Arial"/>
          <w:b/>
          <w:bCs/>
          <w:sz w:val="22"/>
          <w:szCs w:val="22"/>
        </w:rPr>
        <w:t>IROP prispeje k plneniu viacerých tematických cieľov:</w:t>
      </w:r>
    </w:p>
    <w:p w:rsidR="00D75266" w:rsidRPr="00D75266" w:rsidRDefault="00D75266" w:rsidP="00D75266">
      <w:pPr>
        <w:spacing w:line="276" w:lineRule="auto"/>
        <w:jc w:val="both"/>
        <w:rPr>
          <w:rFonts w:ascii="Arial" w:hAnsi="Arial" w:cs="Arial"/>
          <w:bCs/>
          <w:sz w:val="22"/>
          <w:szCs w:val="22"/>
        </w:rPr>
      </w:pPr>
      <w:r w:rsidRPr="00D75266">
        <w:rPr>
          <w:rFonts w:ascii="Arial" w:hAnsi="Arial" w:cs="Arial"/>
          <w:bCs/>
          <w:sz w:val="22"/>
          <w:szCs w:val="22"/>
        </w:rPr>
        <w:t>Tematický cieľ 3: Zvýšenie konkurencieschopnosti malých a stredných podnikov</w:t>
      </w:r>
    </w:p>
    <w:p w:rsidR="00D75266" w:rsidRPr="00D75266" w:rsidRDefault="00D75266" w:rsidP="00D75266">
      <w:pPr>
        <w:spacing w:line="276" w:lineRule="auto"/>
        <w:jc w:val="both"/>
        <w:rPr>
          <w:rFonts w:ascii="Arial" w:hAnsi="Arial" w:cs="Arial"/>
          <w:bCs/>
          <w:sz w:val="22"/>
          <w:szCs w:val="22"/>
        </w:rPr>
      </w:pPr>
      <w:r w:rsidRPr="00D75266">
        <w:rPr>
          <w:rFonts w:ascii="Arial" w:hAnsi="Arial" w:cs="Arial"/>
          <w:bCs/>
          <w:sz w:val="22"/>
          <w:szCs w:val="22"/>
        </w:rPr>
        <w:t>Tematický cieľ 4: Podpora prechodu na nízkouhlíkové hospodárstvo vo všetkých sektoroch</w:t>
      </w:r>
    </w:p>
    <w:p w:rsidR="00D75266" w:rsidRPr="00D75266" w:rsidRDefault="00D75266" w:rsidP="00D75266">
      <w:pPr>
        <w:spacing w:line="276" w:lineRule="auto"/>
        <w:jc w:val="both"/>
        <w:rPr>
          <w:rFonts w:ascii="Arial" w:hAnsi="Arial" w:cs="Arial"/>
          <w:bCs/>
          <w:sz w:val="22"/>
          <w:szCs w:val="22"/>
        </w:rPr>
      </w:pPr>
      <w:r w:rsidRPr="00D75266">
        <w:rPr>
          <w:rFonts w:ascii="Arial" w:hAnsi="Arial" w:cs="Arial"/>
          <w:bCs/>
          <w:sz w:val="22"/>
          <w:szCs w:val="22"/>
        </w:rPr>
        <w:t>Tematický cieľ 6: Ochrana životného prostredia a propagácia účinného využívania zdrojov</w:t>
      </w:r>
    </w:p>
    <w:p w:rsidR="00D75266" w:rsidRPr="00D75266" w:rsidRDefault="00D75266" w:rsidP="00D75266">
      <w:pPr>
        <w:spacing w:line="276" w:lineRule="auto"/>
        <w:ind w:left="1701" w:hanging="1701"/>
        <w:jc w:val="both"/>
        <w:rPr>
          <w:rFonts w:ascii="Arial" w:hAnsi="Arial" w:cs="Arial"/>
          <w:bCs/>
          <w:sz w:val="22"/>
          <w:szCs w:val="22"/>
        </w:rPr>
      </w:pPr>
      <w:r w:rsidRPr="00D75266">
        <w:rPr>
          <w:rFonts w:ascii="Arial" w:hAnsi="Arial" w:cs="Arial"/>
          <w:bCs/>
          <w:sz w:val="22"/>
          <w:szCs w:val="22"/>
        </w:rPr>
        <w:t>Tematický cieľ 7: Podpora udržateľnej dopravy a odstraňovanie prekážok v kľúčových sieťových infraštruktúrach</w:t>
      </w:r>
    </w:p>
    <w:p w:rsidR="00D75266" w:rsidRPr="00D75266" w:rsidRDefault="00D75266" w:rsidP="00D75266">
      <w:pPr>
        <w:spacing w:line="276" w:lineRule="auto"/>
        <w:jc w:val="both"/>
        <w:rPr>
          <w:rFonts w:ascii="Arial" w:hAnsi="Arial" w:cs="Arial"/>
          <w:bCs/>
          <w:sz w:val="22"/>
          <w:szCs w:val="22"/>
        </w:rPr>
      </w:pPr>
      <w:r w:rsidRPr="00D75266">
        <w:rPr>
          <w:rFonts w:ascii="Arial" w:hAnsi="Arial" w:cs="Arial"/>
          <w:bCs/>
          <w:sz w:val="22"/>
          <w:szCs w:val="22"/>
        </w:rPr>
        <w:t>Tematický cieľ 9: Podpora začleňovania a boj proti chudobe</w:t>
      </w:r>
    </w:p>
    <w:p w:rsidR="00D75266" w:rsidRPr="00D75266" w:rsidRDefault="00D75266" w:rsidP="00D75266">
      <w:pPr>
        <w:spacing w:line="276" w:lineRule="auto"/>
        <w:jc w:val="both"/>
        <w:rPr>
          <w:rFonts w:ascii="Arial" w:hAnsi="Arial" w:cs="Arial"/>
          <w:bCs/>
          <w:sz w:val="22"/>
          <w:szCs w:val="22"/>
        </w:rPr>
      </w:pPr>
      <w:r w:rsidRPr="00D75266">
        <w:rPr>
          <w:rFonts w:ascii="Arial" w:hAnsi="Arial" w:cs="Arial"/>
          <w:bCs/>
          <w:sz w:val="22"/>
          <w:szCs w:val="22"/>
        </w:rPr>
        <w:t xml:space="preserve">Tematický cieľ 10: </w:t>
      </w:r>
      <w:r w:rsidR="00470F32" w:rsidRPr="00D75266">
        <w:rPr>
          <w:rFonts w:ascii="Arial" w:hAnsi="Arial" w:cs="Arial"/>
          <w:bCs/>
          <w:sz w:val="22"/>
          <w:szCs w:val="22"/>
        </w:rPr>
        <w:t>Investovanie</w:t>
      </w:r>
      <w:r w:rsidRPr="00D75266">
        <w:rPr>
          <w:rFonts w:ascii="Arial" w:hAnsi="Arial" w:cs="Arial"/>
          <w:bCs/>
          <w:sz w:val="22"/>
          <w:szCs w:val="22"/>
        </w:rPr>
        <w:t xml:space="preserve"> do vzdelania, zručností a celoživotného vzdelávania</w:t>
      </w:r>
    </w:p>
    <w:p w:rsidR="00D75266" w:rsidRPr="00D75266" w:rsidRDefault="00D75266" w:rsidP="00D75266">
      <w:pPr>
        <w:jc w:val="both"/>
        <w:rPr>
          <w:rFonts w:ascii="Arial" w:hAnsi="Arial" w:cs="Arial"/>
          <w:b/>
          <w:bCs/>
          <w:sz w:val="22"/>
          <w:szCs w:val="22"/>
        </w:rPr>
      </w:pPr>
    </w:p>
    <w:p w:rsidR="00D75266" w:rsidRPr="00D75266" w:rsidRDefault="00D75266" w:rsidP="00D75266">
      <w:pPr>
        <w:jc w:val="both"/>
        <w:rPr>
          <w:rFonts w:ascii="Arial" w:hAnsi="Arial" w:cs="Arial"/>
          <w:b/>
          <w:bCs/>
          <w:sz w:val="22"/>
          <w:szCs w:val="22"/>
        </w:rPr>
      </w:pPr>
      <w:r w:rsidRPr="00D75266">
        <w:rPr>
          <w:rFonts w:ascii="Arial" w:hAnsi="Arial" w:cs="Arial"/>
          <w:b/>
          <w:bCs/>
          <w:sz w:val="22"/>
          <w:szCs w:val="22"/>
        </w:rPr>
        <w:t>Možnosti presunu prostriedkov</w:t>
      </w:r>
    </w:p>
    <w:p w:rsidR="00D75266" w:rsidRPr="00D75266" w:rsidRDefault="00D75266" w:rsidP="00D75266">
      <w:pPr>
        <w:jc w:val="both"/>
        <w:rPr>
          <w:rFonts w:ascii="Arial" w:hAnsi="Arial" w:cs="Arial"/>
          <w:b/>
          <w:bCs/>
          <w:sz w:val="22"/>
          <w:szCs w:val="22"/>
        </w:rPr>
      </w:pPr>
    </w:p>
    <w:p w:rsidR="00D75266" w:rsidRPr="00D75266" w:rsidRDefault="00D75266" w:rsidP="00D75266">
      <w:pPr>
        <w:jc w:val="both"/>
        <w:rPr>
          <w:rFonts w:ascii="Arial" w:hAnsi="Arial" w:cs="Arial"/>
          <w:bCs/>
          <w:sz w:val="22"/>
          <w:szCs w:val="22"/>
        </w:rPr>
      </w:pPr>
      <w:r w:rsidRPr="00D75266">
        <w:rPr>
          <w:rFonts w:ascii="Arial" w:hAnsi="Arial" w:cs="Arial"/>
          <w:b/>
          <w:bCs/>
          <w:sz w:val="22"/>
          <w:szCs w:val="22"/>
        </w:rPr>
        <w:t xml:space="preserve">BSK </w:t>
      </w:r>
      <w:r w:rsidRPr="00D75266">
        <w:rPr>
          <w:rFonts w:ascii="Arial" w:hAnsi="Arial" w:cs="Arial"/>
          <w:bCs/>
          <w:sz w:val="22"/>
          <w:szCs w:val="22"/>
        </w:rPr>
        <w:t>zároveň</w:t>
      </w:r>
      <w:r w:rsidRPr="00D75266">
        <w:rPr>
          <w:rFonts w:ascii="Arial" w:hAnsi="Arial" w:cs="Arial"/>
          <w:b/>
          <w:bCs/>
          <w:sz w:val="22"/>
          <w:szCs w:val="22"/>
        </w:rPr>
        <w:t xml:space="preserve"> podporuje presun </w:t>
      </w:r>
      <w:r w:rsidRPr="00D75266">
        <w:rPr>
          <w:rFonts w:ascii="Arial" w:hAnsi="Arial" w:cs="Arial"/>
          <w:bCs/>
          <w:sz w:val="22"/>
          <w:szCs w:val="22"/>
        </w:rPr>
        <w:t>prostriedkov medzi kategóriami regiónov</w:t>
      </w:r>
      <w:r w:rsidR="0041061B">
        <w:rPr>
          <w:rFonts w:ascii="Arial" w:hAnsi="Arial" w:cs="Arial"/>
          <w:b/>
          <w:bCs/>
          <w:sz w:val="22"/>
          <w:szCs w:val="22"/>
        </w:rPr>
        <w:t xml:space="preserve"> do 3 % národnej alokácie EFRR</w:t>
      </w:r>
      <w:r w:rsidRPr="00D75266">
        <w:rPr>
          <w:rFonts w:ascii="Arial" w:hAnsi="Arial" w:cs="Arial"/>
          <w:b/>
          <w:bCs/>
          <w:sz w:val="22"/>
          <w:szCs w:val="22"/>
        </w:rPr>
        <w:t>, ESF, ktoré budú smerované do menej rozvinutých oblastí BSK s cieľom vyrovnať subregionálne rozdiely medzi hlavným mestom SR Bratislava</w:t>
      </w:r>
      <w:r w:rsidR="008F2715">
        <w:rPr>
          <w:rFonts w:ascii="Arial" w:hAnsi="Arial" w:cs="Arial"/>
          <w:b/>
          <w:bCs/>
          <w:sz w:val="22"/>
          <w:szCs w:val="22"/>
        </w:rPr>
        <w:t>,</w:t>
      </w:r>
      <w:r w:rsidRPr="00D75266">
        <w:rPr>
          <w:rFonts w:ascii="Arial" w:hAnsi="Arial" w:cs="Arial"/>
          <w:b/>
          <w:bCs/>
          <w:sz w:val="22"/>
          <w:szCs w:val="22"/>
        </w:rPr>
        <w:t xml:space="preserve"> okolím a vidiekom</w:t>
      </w:r>
      <w:r w:rsidRPr="00D75266">
        <w:rPr>
          <w:rFonts w:ascii="Arial" w:hAnsi="Arial" w:cs="Arial"/>
          <w:bCs/>
          <w:sz w:val="22"/>
          <w:szCs w:val="22"/>
        </w:rPr>
        <w:t>. Konkrétne sa jedná o mestá a obce v okresoch Senec, Pezinok a Malacky s podobnými štrukturálnymi problémami ako zvyšok územia SR. Tieto prostriedky tiež umožnia riešenie špecifických otázok súvisiacich s osobitnou pozíciou Hlavného mesta SR Bratislavy.</w:t>
      </w:r>
    </w:p>
    <w:p w:rsidR="00D75266" w:rsidRPr="00D75266" w:rsidRDefault="00D75266" w:rsidP="00D75266">
      <w:pPr>
        <w:jc w:val="both"/>
        <w:rPr>
          <w:rFonts w:ascii="Arial" w:hAnsi="Arial" w:cs="Arial"/>
          <w:bCs/>
          <w:sz w:val="22"/>
          <w:szCs w:val="22"/>
        </w:rPr>
      </w:pPr>
    </w:p>
    <w:p w:rsidR="00D75266" w:rsidRPr="00D75266" w:rsidRDefault="00D75266" w:rsidP="00D75266">
      <w:pPr>
        <w:jc w:val="both"/>
        <w:rPr>
          <w:rFonts w:ascii="Arial" w:hAnsi="Arial" w:cs="Arial"/>
          <w:bCs/>
          <w:sz w:val="22"/>
          <w:szCs w:val="22"/>
        </w:rPr>
      </w:pPr>
      <w:r w:rsidRPr="00D75266">
        <w:rPr>
          <w:rFonts w:ascii="Arial" w:hAnsi="Arial" w:cs="Arial"/>
          <w:bCs/>
          <w:sz w:val="22"/>
          <w:szCs w:val="22"/>
        </w:rPr>
        <w:t>Podobne</w:t>
      </w:r>
      <w:r w:rsidRPr="00D75266">
        <w:rPr>
          <w:rFonts w:ascii="Arial" w:hAnsi="Arial" w:cs="Arial"/>
          <w:b/>
          <w:bCs/>
          <w:sz w:val="22"/>
          <w:szCs w:val="22"/>
        </w:rPr>
        <w:t xml:space="preserve"> BSK podporuje presun prostriedkov na aktivity mimo oprávneného územia do 15 % z prioritnej osi národného operačného programu, </w:t>
      </w:r>
      <w:r w:rsidRPr="00D75266">
        <w:rPr>
          <w:rFonts w:ascii="Arial" w:hAnsi="Arial" w:cs="Arial"/>
          <w:bCs/>
          <w:sz w:val="22"/>
          <w:szCs w:val="22"/>
        </w:rPr>
        <w:t xml:space="preserve">ktoré budú smerované do oblasti výskumu a inovácií, integrovanej dopravy, životného prostredia, E-governmentu a podpory vysokých škôl. </w:t>
      </w:r>
    </w:p>
    <w:p w:rsidR="00D75266" w:rsidRPr="00D75266" w:rsidRDefault="00D75266" w:rsidP="00D75266">
      <w:pPr>
        <w:jc w:val="both"/>
        <w:rPr>
          <w:rFonts w:ascii="Arial" w:hAnsi="Arial" w:cs="Arial"/>
          <w:color w:val="000000"/>
          <w:sz w:val="22"/>
          <w:szCs w:val="22"/>
        </w:rPr>
      </w:pPr>
    </w:p>
    <w:p w:rsidR="00D75266" w:rsidRPr="00D75266" w:rsidRDefault="00D75266" w:rsidP="00D75266">
      <w:pPr>
        <w:jc w:val="both"/>
        <w:rPr>
          <w:rFonts w:ascii="Arial" w:hAnsi="Arial" w:cs="Arial"/>
          <w:b/>
          <w:color w:val="000000"/>
          <w:sz w:val="22"/>
          <w:szCs w:val="22"/>
        </w:rPr>
      </w:pPr>
      <w:r w:rsidRPr="00D75266">
        <w:rPr>
          <w:rFonts w:ascii="Arial" w:hAnsi="Arial" w:cs="Arial"/>
          <w:b/>
          <w:color w:val="000000"/>
          <w:sz w:val="22"/>
          <w:szCs w:val="22"/>
        </w:rPr>
        <w:t>Rozvi</w:t>
      </w:r>
      <w:r w:rsidR="008F2715">
        <w:rPr>
          <w:rFonts w:ascii="Arial" w:hAnsi="Arial" w:cs="Arial"/>
          <w:b/>
          <w:color w:val="000000"/>
          <w:sz w:val="22"/>
          <w:szCs w:val="22"/>
        </w:rPr>
        <w:t>nuté regióny EÚ, čiže aj BSK (H</w:t>
      </w:r>
      <w:r w:rsidRPr="00D75266">
        <w:rPr>
          <w:rFonts w:ascii="Arial" w:hAnsi="Arial" w:cs="Arial"/>
          <w:b/>
          <w:color w:val="000000"/>
          <w:sz w:val="22"/>
          <w:szCs w:val="22"/>
        </w:rPr>
        <w:t>D</w:t>
      </w:r>
      <w:r w:rsidR="008F2715">
        <w:rPr>
          <w:rFonts w:ascii="Arial" w:hAnsi="Arial" w:cs="Arial"/>
          <w:b/>
          <w:color w:val="000000"/>
          <w:sz w:val="22"/>
          <w:szCs w:val="22"/>
        </w:rPr>
        <w:t>P</w:t>
      </w:r>
      <w:r w:rsidRPr="00D75266">
        <w:rPr>
          <w:rFonts w:ascii="Arial" w:hAnsi="Arial" w:cs="Arial"/>
          <w:b/>
          <w:color w:val="000000"/>
          <w:sz w:val="22"/>
          <w:szCs w:val="22"/>
        </w:rPr>
        <w:t xml:space="preserve"> nad 90%</w:t>
      </w:r>
      <w:r w:rsidR="008F2715">
        <w:rPr>
          <w:rFonts w:ascii="Arial" w:hAnsi="Arial" w:cs="Arial"/>
          <w:b/>
          <w:color w:val="000000"/>
          <w:sz w:val="22"/>
          <w:szCs w:val="22"/>
        </w:rPr>
        <w:t xml:space="preserve"> priemeru EÚ27</w:t>
      </w:r>
      <w:r w:rsidRPr="00D75266">
        <w:rPr>
          <w:rFonts w:ascii="Arial" w:hAnsi="Arial" w:cs="Arial"/>
          <w:b/>
          <w:color w:val="000000"/>
          <w:sz w:val="22"/>
          <w:szCs w:val="22"/>
        </w:rPr>
        <w:t xml:space="preserve">) budú v budúcom programovom období podporené vo výške 50 % spolufinancovania zo strany EÚ </w:t>
      </w:r>
      <w:r w:rsidRPr="00D75266">
        <w:rPr>
          <w:rFonts w:ascii="Arial" w:hAnsi="Arial" w:cs="Arial"/>
          <w:color w:val="000000"/>
          <w:sz w:val="22"/>
          <w:szCs w:val="22"/>
        </w:rPr>
        <w:t xml:space="preserve">na roky 2014-2020 - nie je však ešte rozhodnuté, v akej výške bude nastavené </w:t>
      </w:r>
      <w:r w:rsidRPr="00D75266">
        <w:rPr>
          <w:rFonts w:ascii="Arial" w:hAnsi="Arial" w:cs="Arial"/>
          <w:b/>
          <w:color w:val="000000"/>
          <w:sz w:val="22"/>
          <w:szCs w:val="22"/>
        </w:rPr>
        <w:t>národné spolufinancovanie</w:t>
      </w:r>
      <w:r w:rsidRPr="00D75266">
        <w:rPr>
          <w:rFonts w:ascii="Arial" w:hAnsi="Arial" w:cs="Arial"/>
          <w:color w:val="000000"/>
          <w:sz w:val="22"/>
          <w:szCs w:val="22"/>
        </w:rPr>
        <w:t>, čo je kľúčový faktor pre finálnu výšku spolufinancovania zo strany žiadateľov.</w:t>
      </w:r>
    </w:p>
    <w:p w:rsidR="00D75266" w:rsidRPr="00D75266" w:rsidRDefault="00D75266" w:rsidP="00D75266">
      <w:pPr>
        <w:jc w:val="both"/>
        <w:rPr>
          <w:rFonts w:ascii="Arial" w:hAnsi="Arial" w:cs="Arial"/>
          <w:b/>
          <w:color w:val="000000"/>
          <w:sz w:val="22"/>
          <w:szCs w:val="22"/>
        </w:rPr>
      </w:pPr>
    </w:p>
    <w:p w:rsidR="00D75266" w:rsidRPr="00D75266" w:rsidRDefault="00D75266" w:rsidP="00D75266">
      <w:pPr>
        <w:jc w:val="both"/>
        <w:rPr>
          <w:rFonts w:ascii="Arial" w:hAnsi="Arial" w:cs="Arial"/>
          <w:b/>
          <w:color w:val="000000"/>
          <w:sz w:val="22"/>
          <w:szCs w:val="22"/>
        </w:rPr>
      </w:pPr>
    </w:p>
    <w:p w:rsidR="004447BF" w:rsidRDefault="004447BF" w:rsidP="00D75266">
      <w:pPr>
        <w:jc w:val="both"/>
        <w:rPr>
          <w:rFonts w:ascii="Arial" w:hAnsi="Arial" w:cs="Arial"/>
          <w:b/>
          <w:sz w:val="22"/>
          <w:szCs w:val="22"/>
        </w:rPr>
      </w:pPr>
    </w:p>
    <w:p w:rsidR="00D75266" w:rsidRPr="00D75266" w:rsidRDefault="00D75266" w:rsidP="00D75266">
      <w:pPr>
        <w:jc w:val="both"/>
        <w:rPr>
          <w:rFonts w:ascii="Arial" w:hAnsi="Arial" w:cs="Arial"/>
          <w:b/>
          <w:sz w:val="22"/>
          <w:szCs w:val="22"/>
        </w:rPr>
      </w:pPr>
      <w:r w:rsidRPr="00D75266">
        <w:rPr>
          <w:rFonts w:ascii="Arial" w:hAnsi="Arial" w:cs="Arial"/>
          <w:b/>
          <w:sz w:val="22"/>
          <w:szCs w:val="22"/>
        </w:rPr>
        <w:t>Priority BSK v Integrovanom regionálnom operačnom programe</w:t>
      </w:r>
    </w:p>
    <w:p w:rsidR="00D75266" w:rsidRPr="00D75266" w:rsidRDefault="00D75266" w:rsidP="00D75266">
      <w:pPr>
        <w:jc w:val="both"/>
        <w:rPr>
          <w:rFonts w:ascii="Arial" w:hAnsi="Arial" w:cs="Arial"/>
          <w:b/>
          <w:sz w:val="22"/>
          <w:szCs w:val="22"/>
        </w:rPr>
      </w:pPr>
    </w:p>
    <w:p w:rsidR="00D75266" w:rsidRPr="00D75266" w:rsidRDefault="00D75266" w:rsidP="00D75266">
      <w:pPr>
        <w:jc w:val="both"/>
        <w:rPr>
          <w:rFonts w:ascii="Arial" w:hAnsi="Arial" w:cs="Arial"/>
          <w:bCs/>
          <w:sz w:val="22"/>
          <w:szCs w:val="22"/>
        </w:rPr>
      </w:pPr>
      <w:r w:rsidRPr="00D75266">
        <w:rPr>
          <w:rFonts w:ascii="Arial" w:hAnsi="Arial" w:cs="Arial"/>
          <w:b/>
          <w:bCs/>
          <w:sz w:val="22"/>
          <w:szCs w:val="22"/>
        </w:rPr>
        <w:t>Prioritnou oblasťou BSK v IROP</w:t>
      </w:r>
      <w:r w:rsidRPr="00D75266">
        <w:rPr>
          <w:rFonts w:ascii="Arial" w:hAnsi="Arial" w:cs="Arial"/>
          <w:bCs/>
          <w:sz w:val="22"/>
          <w:szCs w:val="22"/>
        </w:rPr>
        <w:t xml:space="preserve"> </w:t>
      </w:r>
      <w:r w:rsidRPr="00D75266">
        <w:rPr>
          <w:rFonts w:ascii="Arial" w:hAnsi="Arial" w:cs="Arial"/>
          <w:b/>
          <w:bCs/>
          <w:sz w:val="22"/>
          <w:szCs w:val="22"/>
        </w:rPr>
        <w:t xml:space="preserve">je dosiahnutie funkčného a konkurencieschopného regiónu </w:t>
      </w:r>
      <w:r w:rsidRPr="00D75266">
        <w:rPr>
          <w:rFonts w:ascii="Arial" w:hAnsi="Arial" w:cs="Arial"/>
          <w:bCs/>
          <w:sz w:val="22"/>
          <w:szCs w:val="22"/>
        </w:rPr>
        <w:t xml:space="preserve">prostredníctvom realizácie </w:t>
      </w:r>
      <w:r w:rsidRPr="00D75266">
        <w:rPr>
          <w:rFonts w:ascii="Arial" w:hAnsi="Arial" w:cs="Arial"/>
          <w:b/>
          <w:bCs/>
          <w:sz w:val="22"/>
          <w:szCs w:val="22"/>
        </w:rPr>
        <w:t>pro-rastovo zameraných aktivít a opatrení</w:t>
      </w:r>
      <w:r w:rsidRPr="00D75266">
        <w:rPr>
          <w:rFonts w:ascii="Arial" w:hAnsi="Arial" w:cs="Arial"/>
          <w:bCs/>
          <w:sz w:val="22"/>
          <w:szCs w:val="22"/>
        </w:rPr>
        <w:t xml:space="preserve">: </w:t>
      </w:r>
    </w:p>
    <w:p w:rsidR="00D75266" w:rsidRPr="00D75266" w:rsidRDefault="00D75266" w:rsidP="00D75266">
      <w:pPr>
        <w:jc w:val="both"/>
        <w:rPr>
          <w:rFonts w:ascii="Arial" w:hAnsi="Arial" w:cs="Arial"/>
          <w:sz w:val="22"/>
          <w:szCs w:val="22"/>
        </w:rPr>
      </w:pPr>
    </w:p>
    <w:p w:rsidR="00D75266" w:rsidRPr="00D75266" w:rsidRDefault="00D75266" w:rsidP="002B2F09">
      <w:pPr>
        <w:pStyle w:val="Bezriadkovania"/>
        <w:numPr>
          <w:ilvl w:val="0"/>
          <w:numId w:val="43"/>
        </w:numPr>
        <w:jc w:val="both"/>
        <w:rPr>
          <w:rFonts w:ascii="Arial" w:hAnsi="Arial" w:cs="Arial"/>
          <w:b/>
          <w:sz w:val="22"/>
          <w:szCs w:val="22"/>
        </w:rPr>
      </w:pPr>
      <w:r w:rsidRPr="00D75266">
        <w:rPr>
          <w:rFonts w:ascii="Arial" w:hAnsi="Arial" w:cs="Arial"/>
          <w:b/>
          <w:sz w:val="22"/>
          <w:szCs w:val="22"/>
        </w:rPr>
        <w:t xml:space="preserve">Integrované územné investície  miest a obcí BSK </w:t>
      </w:r>
    </w:p>
    <w:p w:rsidR="00D75266" w:rsidRPr="00D75266" w:rsidRDefault="00D75266" w:rsidP="002B2F09">
      <w:pPr>
        <w:pStyle w:val="Bezriadkovania"/>
        <w:ind w:left="720"/>
        <w:jc w:val="both"/>
        <w:rPr>
          <w:rFonts w:ascii="Arial" w:hAnsi="Arial" w:cs="Arial"/>
          <w:sz w:val="22"/>
          <w:szCs w:val="22"/>
        </w:rPr>
      </w:pPr>
      <w:r w:rsidRPr="00D75266">
        <w:rPr>
          <w:rFonts w:ascii="Arial" w:hAnsi="Arial" w:cs="Arial"/>
          <w:sz w:val="22"/>
          <w:szCs w:val="22"/>
        </w:rPr>
        <w:t>I</w:t>
      </w:r>
      <w:r w:rsidR="00010AFA">
        <w:rPr>
          <w:rFonts w:ascii="Arial" w:hAnsi="Arial" w:cs="Arial"/>
          <w:sz w:val="22"/>
          <w:szCs w:val="22"/>
        </w:rPr>
        <w:t>ntegrované územné investície (IU</w:t>
      </w:r>
      <w:r w:rsidRPr="00D75266">
        <w:rPr>
          <w:rFonts w:ascii="Arial" w:hAnsi="Arial" w:cs="Arial"/>
          <w:sz w:val="22"/>
          <w:szCs w:val="22"/>
        </w:rPr>
        <w:t xml:space="preserve">I) budú predstavovať riešenia územného rozvoja prostredníctvom </w:t>
      </w:r>
      <w:r w:rsidRPr="00D75266">
        <w:rPr>
          <w:rFonts w:ascii="Arial" w:hAnsi="Arial" w:cs="Arial"/>
          <w:b/>
          <w:sz w:val="22"/>
          <w:szCs w:val="22"/>
        </w:rPr>
        <w:t>komplexného integrovaného prístupu, pri využití viacfondového financovania aktivít</w:t>
      </w:r>
      <w:r w:rsidRPr="00D75266">
        <w:rPr>
          <w:rFonts w:ascii="Arial" w:hAnsi="Arial" w:cs="Arial"/>
          <w:sz w:val="22"/>
          <w:szCs w:val="22"/>
        </w:rPr>
        <w:t xml:space="preserve">. Pomocou na seba nadväzujúcich aktivít a opatrení sa dosiahne komplexný rozvoj miest a obcí v regióne. Základným </w:t>
      </w:r>
      <w:r w:rsidRPr="00D75266">
        <w:rPr>
          <w:rFonts w:ascii="Arial" w:hAnsi="Arial" w:cs="Arial"/>
          <w:b/>
          <w:sz w:val="22"/>
          <w:szCs w:val="22"/>
        </w:rPr>
        <w:t>predpokladom komplexného riešenia je prepojenie podpory rozvoja ľudských zdrojov s fyzickou obnovou budov, mestského prostredia a infraštruktúry</w:t>
      </w:r>
      <w:r w:rsidRPr="00D75266">
        <w:rPr>
          <w:rFonts w:ascii="Arial" w:hAnsi="Arial" w:cs="Arial"/>
          <w:sz w:val="22"/>
          <w:szCs w:val="22"/>
        </w:rPr>
        <w:t>, pričom sa zdôrazňujú ciele ekologickej, ekonomickej ako aj sociálnej udržateľnosti.</w:t>
      </w:r>
    </w:p>
    <w:p w:rsidR="00D75266" w:rsidRPr="00D75266" w:rsidRDefault="00D75266" w:rsidP="002B2F09">
      <w:pPr>
        <w:pStyle w:val="Bezriadkovania"/>
        <w:jc w:val="both"/>
        <w:rPr>
          <w:rFonts w:ascii="Arial" w:hAnsi="Arial" w:cs="Arial"/>
          <w:sz w:val="22"/>
          <w:szCs w:val="22"/>
        </w:rPr>
      </w:pPr>
    </w:p>
    <w:p w:rsidR="00D75266" w:rsidRPr="00D75266" w:rsidRDefault="00D75266" w:rsidP="002B2F09">
      <w:pPr>
        <w:pStyle w:val="Bezriadkovania"/>
        <w:numPr>
          <w:ilvl w:val="0"/>
          <w:numId w:val="43"/>
        </w:numPr>
        <w:jc w:val="both"/>
        <w:rPr>
          <w:rFonts w:ascii="Arial" w:hAnsi="Arial" w:cs="Arial"/>
          <w:b/>
          <w:sz w:val="22"/>
          <w:szCs w:val="22"/>
        </w:rPr>
      </w:pPr>
      <w:r w:rsidRPr="00D75266">
        <w:rPr>
          <w:rFonts w:ascii="Arial" w:hAnsi="Arial" w:cs="Arial"/>
          <w:b/>
          <w:sz w:val="22"/>
          <w:szCs w:val="22"/>
        </w:rPr>
        <w:t>Transformácia dlhodobej starostlivosti na malokapacitné centrá s kvalitnou zdravotnou a sociálnou starostlivosťou</w:t>
      </w:r>
    </w:p>
    <w:p w:rsidR="00D75266" w:rsidRPr="00D75266" w:rsidRDefault="00D75266" w:rsidP="002B2F09">
      <w:pPr>
        <w:pStyle w:val="Bezriadkovania"/>
        <w:ind w:left="720"/>
        <w:jc w:val="both"/>
        <w:rPr>
          <w:rFonts w:ascii="Arial" w:hAnsi="Arial" w:cs="Arial"/>
          <w:sz w:val="22"/>
          <w:szCs w:val="22"/>
        </w:rPr>
      </w:pPr>
      <w:r w:rsidRPr="00D75266">
        <w:rPr>
          <w:rFonts w:ascii="Arial" w:hAnsi="Arial" w:cs="Arial"/>
          <w:sz w:val="22"/>
          <w:szCs w:val="22"/>
        </w:rPr>
        <w:t xml:space="preserve">V oblasti sociálnej infraštruktúry je hlavným cieľom v súlade s politikou EÚ dosiahnuť postupnú </w:t>
      </w:r>
      <w:r w:rsidRPr="00D75266">
        <w:rPr>
          <w:rFonts w:ascii="Arial" w:hAnsi="Arial" w:cs="Arial"/>
          <w:b/>
          <w:sz w:val="22"/>
          <w:szCs w:val="22"/>
        </w:rPr>
        <w:t>transformáciu a deinštitucionalizáciu existujúcej siete sociálnych zariadení</w:t>
      </w:r>
      <w:r w:rsidRPr="00D75266">
        <w:rPr>
          <w:rFonts w:ascii="Arial" w:hAnsi="Arial" w:cs="Arial"/>
          <w:sz w:val="22"/>
          <w:szCs w:val="22"/>
        </w:rPr>
        <w:t xml:space="preserve">. BSK predstavuje </w:t>
      </w:r>
      <w:r w:rsidRPr="00D75266">
        <w:rPr>
          <w:rFonts w:ascii="Arial" w:hAnsi="Arial" w:cs="Arial"/>
          <w:b/>
          <w:sz w:val="22"/>
          <w:szCs w:val="22"/>
        </w:rPr>
        <w:t xml:space="preserve">región s najvyšším podielom staršieho obyvateľstva </w:t>
      </w:r>
      <w:r w:rsidRPr="00D75266">
        <w:rPr>
          <w:rFonts w:ascii="Arial" w:hAnsi="Arial" w:cs="Arial"/>
          <w:b/>
          <w:sz w:val="22"/>
          <w:szCs w:val="22"/>
        </w:rPr>
        <w:lastRenderedPageBreak/>
        <w:t>a narastajúcimi nárokmi na objem i kvalitu poskytovanej starostlivosti</w:t>
      </w:r>
      <w:r w:rsidRPr="00D75266">
        <w:rPr>
          <w:rFonts w:ascii="Arial" w:hAnsi="Arial" w:cs="Arial"/>
          <w:sz w:val="22"/>
          <w:szCs w:val="22"/>
        </w:rPr>
        <w:t xml:space="preserve">, preto je potrebné komplexne riešiť sociálnu starostlivosť novým prístupom zahŕňajúcim kombináciu špecializovaných služieb. Prostredníctvom IROP tak budú prostriedky smerované na podporu odborných terénnych pracovníkov a vytvorenie komplexného systému zdravotnej a sociálnej starostlivosti schopného zapojiť prostredie rodiny, prvky aktívneho života a celodennej starostlivosti. </w:t>
      </w:r>
    </w:p>
    <w:p w:rsidR="00D75266" w:rsidRPr="00D75266" w:rsidRDefault="00D75266" w:rsidP="002B2F09">
      <w:pPr>
        <w:pStyle w:val="Bezriadkovania"/>
        <w:jc w:val="both"/>
        <w:rPr>
          <w:rFonts w:ascii="Arial" w:hAnsi="Arial" w:cs="Arial"/>
          <w:sz w:val="22"/>
          <w:szCs w:val="22"/>
        </w:rPr>
      </w:pPr>
    </w:p>
    <w:p w:rsidR="00D75266" w:rsidRPr="00D75266" w:rsidRDefault="00D75266" w:rsidP="002B2F09">
      <w:pPr>
        <w:pStyle w:val="Bezriadkovania"/>
        <w:numPr>
          <w:ilvl w:val="0"/>
          <w:numId w:val="43"/>
        </w:numPr>
        <w:jc w:val="both"/>
        <w:rPr>
          <w:rFonts w:ascii="Arial" w:hAnsi="Arial" w:cs="Arial"/>
          <w:b/>
          <w:sz w:val="22"/>
          <w:szCs w:val="22"/>
        </w:rPr>
      </w:pPr>
      <w:r w:rsidRPr="00D75266">
        <w:rPr>
          <w:rFonts w:ascii="Arial" w:hAnsi="Arial" w:cs="Arial"/>
          <w:b/>
          <w:bCs/>
          <w:sz w:val="22"/>
          <w:szCs w:val="22"/>
        </w:rPr>
        <w:t>Rozvoj COVP (Centrá odborného vzdelávania a prípravy) na Regionálne centrá odborných znalostí</w:t>
      </w:r>
    </w:p>
    <w:p w:rsidR="00D75266" w:rsidRPr="00D75266" w:rsidRDefault="00D75266" w:rsidP="002B2F09">
      <w:pPr>
        <w:pStyle w:val="Bezriadkovania"/>
        <w:ind w:left="720"/>
        <w:jc w:val="both"/>
        <w:rPr>
          <w:rFonts w:ascii="Arial" w:hAnsi="Arial" w:cs="Arial"/>
          <w:sz w:val="22"/>
          <w:szCs w:val="22"/>
        </w:rPr>
      </w:pPr>
      <w:r w:rsidRPr="00D75266">
        <w:rPr>
          <w:rFonts w:ascii="Arial" w:hAnsi="Arial" w:cs="Arial"/>
          <w:sz w:val="22"/>
          <w:szCs w:val="22"/>
        </w:rPr>
        <w:t xml:space="preserve">Regionálne centrá odborných znalostí budú predstavovať </w:t>
      </w:r>
      <w:r w:rsidRPr="00D75266">
        <w:rPr>
          <w:rFonts w:ascii="Arial" w:hAnsi="Arial" w:cs="Arial"/>
          <w:b/>
          <w:sz w:val="22"/>
          <w:szCs w:val="22"/>
        </w:rPr>
        <w:t>systém komplexnej prípravy odborne vzdelaných absolventov pre potreby hospodárstva ako aj prírodovedných a technických univerzít v Bratislavskom kraji</w:t>
      </w:r>
      <w:r w:rsidRPr="00D75266">
        <w:rPr>
          <w:rFonts w:ascii="Arial" w:hAnsi="Arial" w:cs="Arial"/>
          <w:sz w:val="22"/>
          <w:szCs w:val="22"/>
        </w:rPr>
        <w:t>. Cieľom je vytvorenie komplexných stredoškolských kampusov (s ubytovacími kapacitami) zabezpečujúcich teoretickú aj praktickú výučbu v spolupráci s podnikateľským sektorom a trhom práce, schopných poskytnúť priestor pre voľnočasové a športové aktivity slúžiace nie len pre študentov a učiteľov, ale aj pre širokú verejnosť</w:t>
      </w:r>
      <w:r w:rsidRPr="00D75266">
        <w:rPr>
          <w:rFonts w:ascii="Arial" w:hAnsi="Arial" w:cs="Arial"/>
          <w:b/>
          <w:sz w:val="22"/>
          <w:szCs w:val="22"/>
        </w:rPr>
        <w:t>. Centrá sa tak stanú priamou súčasťou a nástrojom komunitného a územného rozvoja, je preto potrebné ich vnímať ako súčasť integrovanej územnej investície</w:t>
      </w:r>
      <w:r w:rsidRPr="00D75266">
        <w:rPr>
          <w:rFonts w:ascii="Arial" w:hAnsi="Arial" w:cs="Arial"/>
          <w:sz w:val="22"/>
          <w:szCs w:val="22"/>
        </w:rPr>
        <w:t xml:space="preserve">. Cieľom BSK je vytvoriť prostredníctvom podpory z IROP 8 až 10 nových COVP, ktoré </w:t>
      </w:r>
      <w:r w:rsidRPr="00D75266">
        <w:rPr>
          <w:rFonts w:ascii="Arial" w:hAnsi="Arial" w:cs="Arial"/>
          <w:sz w:val="22"/>
          <w:szCs w:val="22"/>
          <w:shd w:val="clear" w:color="auto" w:fill="FFFFFF"/>
        </w:rPr>
        <w:t>budú schopné pružne reagovať na potreby trhu práce v kontexte poskytovania služieb celoživotného vzdelávania</w:t>
      </w:r>
      <w:r w:rsidRPr="00D75266">
        <w:rPr>
          <w:rFonts w:ascii="Arial" w:hAnsi="Arial" w:cs="Arial"/>
          <w:sz w:val="22"/>
          <w:szCs w:val="22"/>
        </w:rPr>
        <w:t xml:space="preserve">. </w:t>
      </w:r>
    </w:p>
    <w:p w:rsidR="00D75266" w:rsidRPr="00D75266" w:rsidRDefault="00D75266" w:rsidP="002B2F09">
      <w:pPr>
        <w:pStyle w:val="Bezriadkovania"/>
        <w:jc w:val="both"/>
        <w:rPr>
          <w:rFonts w:ascii="Arial" w:hAnsi="Arial" w:cs="Arial"/>
          <w:sz w:val="22"/>
          <w:szCs w:val="22"/>
        </w:rPr>
      </w:pPr>
    </w:p>
    <w:p w:rsidR="00D75266" w:rsidRPr="00D75266" w:rsidRDefault="00D75266" w:rsidP="002B2F09">
      <w:pPr>
        <w:pStyle w:val="Bezriadkovania"/>
        <w:numPr>
          <w:ilvl w:val="0"/>
          <w:numId w:val="43"/>
        </w:numPr>
        <w:jc w:val="both"/>
        <w:rPr>
          <w:rFonts w:ascii="Arial" w:hAnsi="Arial" w:cs="Arial"/>
          <w:b/>
          <w:sz w:val="22"/>
          <w:szCs w:val="22"/>
        </w:rPr>
      </w:pPr>
      <w:r w:rsidRPr="00D75266">
        <w:rPr>
          <w:rFonts w:ascii="Arial" w:hAnsi="Arial" w:cs="Arial"/>
          <w:b/>
          <w:bCs/>
          <w:sz w:val="22"/>
          <w:szCs w:val="22"/>
        </w:rPr>
        <w:t xml:space="preserve">Regionálny integrovaný dopravný systém </w:t>
      </w:r>
    </w:p>
    <w:p w:rsidR="00D75266" w:rsidRPr="00D75266" w:rsidRDefault="00D75266" w:rsidP="002B2F09">
      <w:pPr>
        <w:pStyle w:val="Bezriadkovania"/>
        <w:ind w:left="720"/>
        <w:jc w:val="both"/>
        <w:rPr>
          <w:rFonts w:ascii="Arial" w:hAnsi="Arial" w:cs="Arial"/>
          <w:sz w:val="22"/>
          <w:szCs w:val="22"/>
        </w:rPr>
      </w:pPr>
      <w:r w:rsidRPr="00D75266">
        <w:rPr>
          <w:rFonts w:ascii="Arial" w:hAnsi="Arial" w:cs="Arial"/>
          <w:sz w:val="22"/>
          <w:szCs w:val="22"/>
        </w:rPr>
        <w:t xml:space="preserve">Podpora rozvoja integrovanej dopravy (dobudovanie infraštruktúry BID – záchytné parkoviská, parkovacie domy, budovanie prestupných terminálov s inteligentným informačným systémom, nákup a osadenie predajných automatov, vodné prístaviská) </w:t>
      </w:r>
    </w:p>
    <w:p w:rsidR="00804F73" w:rsidRPr="00D75266" w:rsidRDefault="00804F73" w:rsidP="00654EA0">
      <w:pPr>
        <w:rPr>
          <w:rFonts w:ascii="Arial" w:hAnsi="Arial" w:cs="Arial"/>
          <w:b/>
          <w:sz w:val="22"/>
          <w:szCs w:val="22"/>
        </w:rPr>
      </w:pPr>
    </w:p>
    <w:p w:rsidR="00804F73" w:rsidRDefault="00804F73" w:rsidP="00654EA0">
      <w:pPr>
        <w:rPr>
          <w:rFonts w:ascii="Arial" w:hAnsi="Arial" w:cs="Arial"/>
          <w:b/>
          <w:sz w:val="22"/>
          <w:szCs w:val="22"/>
        </w:rPr>
      </w:pPr>
    </w:p>
    <w:p w:rsidR="00EA3E4A" w:rsidRDefault="00EA3E4A" w:rsidP="00EA3E4A">
      <w:pPr>
        <w:pStyle w:val="Nadpis1"/>
        <w:spacing w:before="0" w:beforeAutospacing="0" w:after="0" w:afterAutospacing="0"/>
        <w:rPr>
          <w:rFonts w:ascii="Arial" w:hAnsi="Arial" w:cs="Arial"/>
          <w:sz w:val="22"/>
          <w:szCs w:val="22"/>
        </w:rPr>
      </w:pPr>
      <w:r w:rsidRPr="00EA3E4A">
        <w:rPr>
          <w:rFonts w:ascii="Arial" w:hAnsi="Arial" w:cs="Arial"/>
          <w:sz w:val="22"/>
          <w:szCs w:val="22"/>
        </w:rPr>
        <w:t>Priority BSK v rámci národných operačných programov 2014-2020</w:t>
      </w:r>
    </w:p>
    <w:p w:rsidR="00EA3E4A" w:rsidRDefault="00EA3E4A" w:rsidP="00EA3E4A">
      <w:pPr>
        <w:pStyle w:val="Nadpis1"/>
        <w:spacing w:before="0" w:beforeAutospacing="0" w:after="0" w:afterAutospacing="0"/>
        <w:rPr>
          <w:rFonts w:ascii="Arial" w:hAnsi="Arial" w:cs="Arial"/>
          <w:sz w:val="22"/>
          <w:szCs w:val="22"/>
        </w:rPr>
      </w:pPr>
    </w:p>
    <w:p w:rsidR="00EA3E4A" w:rsidRPr="00EA3E4A" w:rsidRDefault="00EA3E4A" w:rsidP="00EA3E4A">
      <w:pPr>
        <w:pStyle w:val="Nadpis1"/>
        <w:spacing w:before="0" w:beforeAutospacing="0" w:after="0" w:afterAutospacing="0"/>
        <w:rPr>
          <w:rFonts w:ascii="Arial" w:hAnsi="Arial" w:cs="Arial"/>
          <w:sz w:val="22"/>
          <w:szCs w:val="22"/>
        </w:rPr>
      </w:pPr>
      <w:r w:rsidRPr="00EA3E4A">
        <w:rPr>
          <w:rFonts w:ascii="Arial" w:hAnsi="Arial" w:cs="Arial"/>
          <w:sz w:val="22"/>
          <w:szCs w:val="22"/>
        </w:rPr>
        <w:t>OP Infraštruktúra pre hospodársky rast a tvorbu pracovných miest</w:t>
      </w:r>
    </w:p>
    <w:p w:rsidR="00EA3E4A" w:rsidRPr="00EA3E4A" w:rsidRDefault="00EA3E4A" w:rsidP="00EA3E4A">
      <w:pPr>
        <w:pStyle w:val="Odsekzoznamu"/>
        <w:numPr>
          <w:ilvl w:val="0"/>
          <w:numId w:val="32"/>
        </w:numPr>
        <w:autoSpaceDE w:val="0"/>
        <w:autoSpaceDN w:val="0"/>
        <w:contextualSpacing w:val="0"/>
        <w:jc w:val="both"/>
        <w:rPr>
          <w:rFonts w:ascii="Arial" w:eastAsiaTheme="minorHAnsi" w:hAnsi="Arial" w:cs="Arial"/>
          <w:sz w:val="22"/>
          <w:szCs w:val="22"/>
        </w:rPr>
      </w:pPr>
      <w:r w:rsidRPr="00EA3E4A">
        <w:rPr>
          <w:rFonts w:ascii="Arial" w:hAnsi="Arial" w:cs="Arial"/>
          <w:color w:val="000000"/>
          <w:sz w:val="22"/>
          <w:szCs w:val="22"/>
        </w:rPr>
        <w:t xml:space="preserve">Podpora rozvoja integrovanej dopravy </w:t>
      </w:r>
      <w:r w:rsidRPr="00EA3E4A">
        <w:rPr>
          <w:rFonts w:ascii="Arial" w:hAnsi="Arial" w:cs="Arial"/>
          <w:sz w:val="22"/>
          <w:szCs w:val="22"/>
        </w:rPr>
        <w:t xml:space="preserve">(dobudovanie infraštruktúry BID – záchytné parkoviská, parkovacie domy, budovanie prestupných terminálov s inteligentným </w:t>
      </w:r>
      <w:r w:rsidRPr="00470F32">
        <w:rPr>
          <w:rFonts w:ascii="Arial" w:hAnsi="Arial" w:cs="Arial"/>
          <w:sz w:val="22"/>
          <w:szCs w:val="22"/>
        </w:rPr>
        <w:t>informačným systémom, nákup a osadenie predajn</w:t>
      </w:r>
      <w:r w:rsidR="0041061B">
        <w:rPr>
          <w:rFonts w:ascii="Arial" w:hAnsi="Arial" w:cs="Arial"/>
          <w:sz w:val="22"/>
          <w:szCs w:val="22"/>
        </w:rPr>
        <w:t>ých automatov, vodné prístaviská</w:t>
      </w:r>
      <w:r w:rsidRPr="00470F32">
        <w:rPr>
          <w:rFonts w:ascii="Arial" w:hAnsi="Arial" w:cs="Arial"/>
          <w:sz w:val="22"/>
          <w:szCs w:val="22"/>
        </w:rPr>
        <w:t xml:space="preserve">…) </w:t>
      </w:r>
      <w:r w:rsidRPr="00470F32">
        <w:rPr>
          <w:rFonts w:ascii="Arial" w:hAnsi="Arial" w:cs="Arial"/>
          <w:b/>
          <w:bCs/>
          <w:sz w:val="22"/>
          <w:szCs w:val="22"/>
        </w:rPr>
        <w:t>– možnosť financovania cez IROP (regionálne hľadisko)</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color w:val="000000"/>
          <w:sz w:val="22"/>
          <w:szCs w:val="22"/>
        </w:rPr>
        <w:t>Rozvoj i</w:t>
      </w:r>
      <w:r w:rsidRPr="00EA3E4A">
        <w:rPr>
          <w:rFonts w:ascii="Arial" w:hAnsi="Arial" w:cs="Arial"/>
          <w:sz w:val="22"/>
          <w:szCs w:val="22"/>
        </w:rPr>
        <w:t>ntegrovanej, udržateľnej, ekologickej a dostupnej mestskej mobility (najmä využívaním verejnej dopravy, cyklistiky a chôdze, vnútrozemskej vodnej dopravy a multimodálnych liniek ako napr. rekonštrukcia infraštruktúry koľajovej dopravy, trolejbusového vedenia, nákup vozového parku – električky, trolejbusy, tram - train)</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transeurópskej dopravnej siete (TEN-T 17/18)</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Rozvoj a obnova interoperabilného železničného systému vysokej kvality vrátane modernizácie železničných staníc</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Posilnenie regionálnej mobility prostredníctvom prepojenia sekundárnych a terciárnych uzlov s infraštruktúrou TEN-T</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Zavádzanie a rozvoj Inteligentných dopravných systémov</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Investície do čerpacej a nabíjacej infraštruktúry pre nové vozidlá určené pre mestskú dopravu neprodukujúce emisie uhlíka</w:t>
      </w:r>
    </w:p>
    <w:p w:rsidR="00EA3E4A" w:rsidRDefault="00EA3E4A" w:rsidP="00EA3E4A">
      <w:pPr>
        <w:pStyle w:val="Nadpis2"/>
        <w:spacing w:before="0"/>
        <w:rPr>
          <w:rFonts w:ascii="Arial" w:eastAsia="Times New Roman" w:hAnsi="Arial" w:cs="Arial"/>
          <w:sz w:val="22"/>
          <w:szCs w:val="22"/>
        </w:rPr>
      </w:pPr>
    </w:p>
    <w:p w:rsidR="00EA3E4A" w:rsidRPr="00EA3E4A" w:rsidRDefault="00EA3E4A" w:rsidP="00EA3E4A">
      <w:pPr>
        <w:pStyle w:val="Nadpis2"/>
        <w:spacing w:before="0"/>
        <w:rPr>
          <w:rFonts w:ascii="Arial" w:eastAsia="Times New Roman" w:hAnsi="Arial" w:cs="Arial"/>
          <w:sz w:val="22"/>
          <w:szCs w:val="22"/>
        </w:rPr>
      </w:pPr>
      <w:r w:rsidRPr="00EA3E4A">
        <w:rPr>
          <w:rFonts w:ascii="Arial" w:eastAsia="Times New Roman" w:hAnsi="Arial" w:cs="Arial"/>
          <w:color w:val="auto"/>
          <w:sz w:val="22"/>
          <w:szCs w:val="22"/>
        </w:rPr>
        <w:t>OP Podnikateľské prostredie priaznivé pre inovácie</w:t>
      </w:r>
    </w:p>
    <w:p w:rsidR="00EA3E4A" w:rsidRPr="00EA3E4A" w:rsidRDefault="00EA3E4A" w:rsidP="00EA3E4A">
      <w:pPr>
        <w:pStyle w:val="Odsekzoznamu"/>
        <w:numPr>
          <w:ilvl w:val="0"/>
          <w:numId w:val="32"/>
        </w:numPr>
        <w:autoSpaceDE w:val="0"/>
        <w:autoSpaceDN w:val="0"/>
        <w:contextualSpacing w:val="0"/>
        <w:jc w:val="both"/>
        <w:rPr>
          <w:rFonts w:ascii="Arial" w:eastAsiaTheme="minorHAnsi" w:hAnsi="Arial" w:cs="Arial"/>
          <w:sz w:val="22"/>
          <w:szCs w:val="22"/>
        </w:rPr>
      </w:pPr>
      <w:r w:rsidRPr="00EA3E4A">
        <w:rPr>
          <w:rFonts w:ascii="Arial" w:hAnsi="Arial" w:cs="Arial"/>
          <w:sz w:val="22"/>
          <w:szCs w:val="22"/>
        </w:rPr>
        <w:t xml:space="preserve">Podpora </w:t>
      </w:r>
      <w:r w:rsidRPr="00EA3E4A">
        <w:rPr>
          <w:rFonts w:ascii="Arial" w:hAnsi="Arial" w:cs="Arial"/>
          <w:color w:val="000000"/>
          <w:sz w:val="22"/>
          <w:szCs w:val="22"/>
        </w:rPr>
        <w:t>výskumnej a inovačnej infraštruktúry (vedeckých parkov,</w:t>
      </w:r>
      <w:r w:rsidRPr="00EA3E4A">
        <w:rPr>
          <w:rFonts w:ascii="Arial" w:hAnsi="Arial" w:cs="Arial"/>
          <w:sz w:val="22"/>
          <w:szCs w:val="22"/>
        </w:rPr>
        <w:t xml:space="preserve"> centier excelentnosti)</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color w:val="000000"/>
          <w:sz w:val="22"/>
          <w:szCs w:val="22"/>
        </w:rPr>
        <w:t>Podpora podnikateľských investícií do inovácií a výskumu</w:t>
      </w:r>
      <w:r w:rsidRPr="00EA3E4A">
        <w:rPr>
          <w:rFonts w:ascii="Arial" w:hAnsi="Arial" w:cs="Arial"/>
          <w:sz w:val="22"/>
          <w:szCs w:val="22"/>
        </w:rPr>
        <w:t xml:space="preserve"> </w:t>
      </w:r>
      <w:r w:rsidRPr="00EA3E4A">
        <w:rPr>
          <w:rFonts w:ascii="Arial" w:hAnsi="Arial" w:cs="Arial"/>
          <w:color w:val="000000"/>
          <w:sz w:val="22"/>
          <w:szCs w:val="22"/>
        </w:rPr>
        <w:t>najmä v oblastiach nových materiálov, IKT a biotechnológií</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aplikovaného výskumu</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 xml:space="preserve">Podpora klastrov, </w:t>
      </w:r>
      <w:r w:rsidRPr="00EA3E4A">
        <w:rPr>
          <w:rFonts w:ascii="Arial" w:hAnsi="Arial" w:cs="Arial"/>
          <w:color w:val="000000"/>
          <w:sz w:val="22"/>
          <w:szCs w:val="22"/>
        </w:rPr>
        <w:t>sietí, spin-offs / start-ups, inkubátorov</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color w:val="000000"/>
          <w:sz w:val="22"/>
          <w:szCs w:val="22"/>
        </w:rPr>
        <w:lastRenderedPageBreak/>
        <w:t>Propagácia výsledkov výskumu</w:t>
      </w:r>
    </w:p>
    <w:p w:rsidR="00EA3E4A" w:rsidRPr="00EA3E4A" w:rsidRDefault="00EA3E4A" w:rsidP="00EA3E4A">
      <w:pPr>
        <w:pStyle w:val="Odsekzoznamu"/>
        <w:autoSpaceDE w:val="0"/>
        <w:autoSpaceDN w:val="0"/>
        <w:jc w:val="both"/>
        <w:rPr>
          <w:rFonts w:ascii="Arial" w:hAnsi="Arial" w:cs="Arial"/>
          <w:sz w:val="22"/>
          <w:szCs w:val="22"/>
        </w:rPr>
      </w:pPr>
    </w:p>
    <w:p w:rsidR="00EA3E4A" w:rsidRPr="00EA3E4A" w:rsidRDefault="00EA3E4A" w:rsidP="00EA3E4A">
      <w:pPr>
        <w:pStyle w:val="Nadpis2"/>
        <w:spacing w:before="0"/>
        <w:rPr>
          <w:rFonts w:ascii="Arial" w:eastAsia="Times New Roman" w:hAnsi="Arial" w:cs="Arial"/>
          <w:color w:val="auto"/>
          <w:sz w:val="22"/>
          <w:szCs w:val="22"/>
        </w:rPr>
      </w:pPr>
      <w:r w:rsidRPr="00EA3E4A">
        <w:rPr>
          <w:rFonts w:ascii="Arial" w:eastAsia="Times New Roman" w:hAnsi="Arial" w:cs="Arial"/>
          <w:color w:val="auto"/>
          <w:sz w:val="22"/>
          <w:szCs w:val="22"/>
        </w:rPr>
        <w:t xml:space="preserve">OP Rast ľudského kapitálu a zlepšenie účasti na trhu práce </w:t>
      </w:r>
    </w:p>
    <w:p w:rsidR="00EA3E4A" w:rsidRPr="00EA3E4A" w:rsidRDefault="00EA3E4A" w:rsidP="00EA3E4A">
      <w:pPr>
        <w:pStyle w:val="Odsekzoznamu"/>
        <w:numPr>
          <w:ilvl w:val="0"/>
          <w:numId w:val="32"/>
        </w:numPr>
        <w:autoSpaceDE w:val="0"/>
        <w:autoSpaceDN w:val="0"/>
        <w:contextualSpacing w:val="0"/>
        <w:jc w:val="both"/>
        <w:rPr>
          <w:rFonts w:ascii="Arial" w:eastAsiaTheme="minorHAnsi" w:hAnsi="Arial" w:cs="Arial"/>
          <w:sz w:val="22"/>
          <w:szCs w:val="22"/>
        </w:rPr>
      </w:pPr>
      <w:r w:rsidRPr="00EA3E4A">
        <w:rPr>
          <w:rFonts w:ascii="Arial" w:hAnsi="Arial" w:cs="Arial"/>
          <w:sz w:val="22"/>
          <w:szCs w:val="22"/>
        </w:rPr>
        <w:t>Podpora proaktívnych služieb zamestnanosti</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podnikateľských zručností a podpora zakladania nových firiem a samostatnej zárobkovej činnosti</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Rozvoj MSP spojený s kreatívnym priemyslom, novými formami cestovného ruchu a so starnutím obyvateľstva</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celoživotného vzdelávania</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Predlžovanie zdravšieho pracovného života prostredníctvom navrhovania a vykonávania opatrení na podporu zdravého životného štýlu</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aktivít na zosúladenie pracovného a rodinného života</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aktivít na vytvorenie pracovných miest pre znevýhodnené skupiny obyvateľstva na trhu práce</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color w:val="000000"/>
          <w:sz w:val="22"/>
          <w:szCs w:val="22"/>
        </w:rPr>
        <w:t>B</w:t>
      </w:r>
      <w:r w:rsidRPr="00EA3E4A">
        <w:rPr>
          <w:rFonts w:ascii="Arial" w:hAnsi="Arial" w:cs="Arial"/>
          <w:sz w:val="22"/>
          <w:szCs w:val="22"/>
        </w:rPr>
        <w:t>oj proti diskriminácii z dôvodu pohlavia, rasy alebo etnického pôvodu, náboženstva alebo viery, zdravotného postihnutia, veku alebo sexuálnej orientácie</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zvyšovania relevantnosti a kvality programov vysokoškolského vzdelávania z hľadiska potrieb trhu práce</w:t>
      </w:r>
    </w:p>
    <w:p w:rsidR="00EA3E4A" w:rsidRPr="00EA3E4A" w:rsidRDefault="00EA3E4A" w:rsidP="00EA3E4A">
      <w:pPr>
        <w:pStyle w:val="Odsekzoznamu"/>
        <w:autoSpaceDE w:val="0"/>
        <w:autoSpaceDN w:val="0"/>
        <w:jc w:val="both"/>
        <w:rPr>
          <w:rFonts w:ascii="Arial" w:hAnsi="Arial" w:cs="Arial"/>
          <w:sz w:val="22"/>
          <w:szCs w:val="22"/>
        </w:rPr>
      </w:pPr>
    </w:p>
    <w:p w:rsidR="00EA3E4A" w:rsidRPr="00EA3E4A" w:rsidRDefault="00EA3E4A" w:rsidP="00EA3E4A">
      <w:pPr>
        <w:pStyle w:val="Nadpis2"/>
        <w:spacing w:before="0"/>
        <w:rPr>
          <w:rFonts w:ascii="Arial" w:eastAsia="Times New Roman" w:hAnsi="Arial" w:cs="Arial"/>
          <w:sz w:val="22"/>
          <w:szCs w:val="22"/>
        </w:rPr>
      </w:pPr>
      <w:r w:rsidRPr="00494CF6">
        <w:rPr>
          <w:rFonts w:ascii="Arial" w:eastAsia="Times New Roman" w:hAnsi="Arial" w:cs="Arial"/>
          <w:color w:val="auto"/>
          <w:sz w:val="22"/>
          <w:szCs w:val="22"/>
        </w:rPr>
        <w:t>OP U</w:t>
      </w:r>
      <w:r w:rsidRPr="00EA3E4A">
        <w:rPr>
          <w:rFonts w:ascii="Arial" w:eastAsia="Times New Roman" w:hAnsi="Arial" w:cs="Arial"/>
          <w:color w:val="auto"/>
          <w:sz w:val="22"/>
          <w:szCs w:val="22"/>
        </w:rPr>
        <w:t>držateľné a efektívne využívanie prírodných zdrojov</w:t>
      </w:r>
    </w:p>
    <w:p w:rsidR="00EA3E4A" w:rsidRPr="00EA3E4A" w:rsidRDefault="00EA3E4A" w:rsidP="00EA3E4A">
      <w:pPr>
        <w:pStyle w:val="Odsekzoznamu"/>
        <w:numPr>
          <w:ilvl w:val="0"/>
          <w:numId w:val="32"/>
        </w:numPr>
        <w:autoSpaceDE w:val="0"/>
        <w:autoSpaceDN w:val="0"/>
        <w:contextualSpacing w:val="0"/>
        <w:jc w:val="both"/>
        <w:rPr>
          <w:rFonts w:ascii="Arial" w:eastAsiaTheme="minorHAnsi" w:hAnsi="Arial" w:cs="Arial"/>
          <w:sz w:val="22"/>
          <w:szCs w:val="22"/>
        </w:rPr>
      </w:pPr>
      <w:r w:rsidRPr="00EA3E4A">
        <w:rPr>
          <w:rFonts w:ascii="Arial" w:hAnsi="Arial" w:cs="Arial"/>
          <w:sz w:val="22"/>
          <w:szCs w:val="22"/>
        </w:rPr>
        <w:t>Podpora výroby a distribúcie obnoviteľných a druhotných zdrojov energie</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energetickej efektívnosti, využitia energie z obnoviteľných zdrojov pre vykurovanie a chladenie vo verejných budovách, v sektore bývania a podnikoch</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Vývoj a zavedenie inteligentných distribučných systémov s nízkymi a strednými úrovňami napätia</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Investície do protipovodňovej ochrany, predchádzania škodám na zastavanom prostredí a inej infraštruktúre a zvyšovaniu ich odolnosti</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Riešenie významných potrieb investícií do sektora odpadu, separácie, recyklácie a vodného hospodárstva</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Ochrana a obnova biologickej diverzity, ochrana pôdy a obnova a podpora ekosystémových služieb vrátane NATURA 2000 a zelených infraštruktúr</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industriálneho prechodu smerom k hospodárstvu orientovanému na racionálne využívanie zdrojov a podpora zeleného rastu</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Podpora udržateľnej mestskej kanalizácie, opatrení na obnovu priepustnosti pôdy, obnovy kontaminovaných miest</w:t>
      </w:r>
    </w:p>
    <w:p w:rsidR="00EA3E4A" w:rsidRPr="00EA3E4A" w:rsidRDefault="00EA3E4A" w:rsidP="00EA3E4A">
      <w:pPr>
        <w:pStyle w:val="Odsekzoznamu"/>
        <w:autoSpaceDE w:val="0"/>
        <w:autoSpaceDN w:val="0"/>
        <w:jc w:val="both"/>
        <w:rPr>
          <w:rFonts w:ascii="Arial" w:hAnsi="Arial" w:cs="Arial"/>
          <w:sz w:val="22"/>
          <w:szCs w:val="22"/>
        </w:rPr>
      </w:pPr>
    </w:p>
    <w:p w:rsidR="00EA3E4A" w:rsidRPr="00EA3E4A" w:rsidRDefault="00EA3E4A" w:rsidP="00EA3E4A">
      <w:pPr>
        <w:pStyle w:val="Nadpis2"/>
        <w:spacing w:before="0"/>
        <w:rPr>
          <w:rFonts w:ascii="Arial" w:eastAsia="Times New Roman" w:hAnsi="Arial" w:cs="Arial"/>
          <w:color w:val="auto"/>
          <w:sz w:val="22"/>
          <w:szCs w:val="22"/>
        </w:rPr>
      </w:pPr>
      <w:r w:rsidRPr="00EA3E4A">
        <w:rPr>
          <w:rFonts w:ascii="Arial" w:eastAsia="Times New Roman" w:hAnsi="Arial" w:cs="Arial"/>
          <w:color w:val="auto"/>
          <w:sz w:val="22"/>
          <w:szCs w:val="22"/>
        </w:rPr>
        <w:t>OP Moderná a profesionálna verejná správa</w:t>
      </w:r>
    </w:p>
    <w:p w:rsidR="00EA3E4A" w:rsidRPr="00EA3E4A" w:rsidRDefault="00EA3E4A" w:rsidP="00EA3E4A">
      <w:pPr>
        <w:pStyle w:val="Odsekzoznamu"/>
        <w:numPr>
          <w:ilvl w:val="0"/>
          <w:numId w:val="32"/>
        </w:numPr>
        <w:autoSpaceDE w:val="0"/>
        <w:autoSpaceDN w:val="0"/>
        <w:contextualSpacing w:val="0"/>
        <w:jc w:val="both"/>
        <w:rPr>
          <w:rFonts w:ascii="Arial" w:eastAsiaTheme="minorHAnsi" w:hAnsi="Arial" w:cs="Arial"/>
          <w:sz w:val="22"/>
          <w:szCs w:val="22"/>
        </w:rPr>
      </w:pPr>
      <w:r w:rsidRPr="00EA3E4A">
        <w:rPr>
          <w:rFonts w:ascii="Arial" w:hAnsi="Arial" w:cs="Arial"/>
          <w:sz w:val="22"/>
          <w:szCs w:val="22"/>
        </w:rPr>
        <w:t>Podpora IKT verejnej správy (e-government)</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Investície do inštitucionálnych kapacít a do efektivity verejnej správy a verejných služieb s ohľadom na reformy, lepšiu reguláciu a dobrú správu a podpora zavádzania protikorupčných opatrení</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sz w:val="22"/>
          <w:szCs w:val="22"/>
        </w:rPr>
        <w:t>Budovanie kapacít nositeľov politík zamestnanosti, vzdelávania, sociálnych politík a sektorových a územných stratégií za účelom prípravy a realizácie reforiem na národnej, regionálnej a miestnej úrovni</w:t>
      </w:r>
    </w:p>
    <w:p w:rsidR="00EA3E4A" w:rsidRPr="00EA3E4A" w:rsidRDefault="00EA3E4A" w:rsidP="00EA3E4A">
      <w:pPr>
        <w:pStyle w:val="Odsekzoznamu"/>
        <w:numPr>
          <w:ilvl w:val="0"/>
          <w:numId w:val="32"/>
        </w:numPr>
        <w:autoSpaceDE w:val="0"/>
        <w:autoSpaceDN w:val="0"/>
        <w:contextualSpacing w:val="0"/>
        <w:jc w:val="both"/>
        <w:rPr>
          <w:rFonts w:ascii="Arial" w:hAnsi="Arial" w:cs="Arial"/>
          <w:sz w:val="22"/>
          <w:szCs w:val="22"/>
        </w:rPr>
      </w:pPr>
      <w:r w:rsidRPr="00EA3E4A">
        <w:rPr>
          <w:rFonts w:ascii="Arial" w:hAnsi="Arial" w:cs="Arial"/>
          <w:color w:val="000000"/>
          <w:sz w:val="22"/>
          <w:szCs w:val="22"/>
        </w:rPr>
        <w:t>Integrované IKT riešenia pre "inteligentné mestá", informácie pre spotrebiteľov a posilnenie ich postavenia</w:t>
      </w:r>
    </w:p>
    <w:p w:rsidR="00EA3E4A" w:rsidRPr="00EA3E4A" w:rsidRDefault="00EA3E4A" w:rsidP="00EA3E4A">
      <w:pPr>
        <w:pStyle w:val="Odsekzoznamu"/>
        <w:autoSpaceDE w:val="0"/>
        <w:autoSpaceDN w:val="0"/>
        <w:jc w:val="both"/>
        <w:rPr>
          <w:rFonts w:ascii="Arial" w:hAnsi="Arial" w:cs="Arial"/>
          <w:sz w:val="22"/>
          <w:szCs w:val="22"/>
        </w:rPr>
      </w:pPr>
    </w:p>
    <w:p w:rsidR="00EA3E4A" w:rsidRPr="00EA3E4A" w:rsidRDefault="00EA3E4A" w:rsidP="00EA3E4A">
      <w:pPr>
        <w:autoSpaceDE w:val="0"/>
        <w:autoSpaceDN w:val="0"/>
        <w:jc w:val="both"/>
        <w:rPr>
          <w:rFonts w:ascii="Arial" w:hAnsi="Arial" w:cs="Arial"/>
          <w:b/>
          <w:bCs/>
          <w:sz w:val="22"/>
          <w:szCs w:val="22"/>
        </w:rPr>
      </w:pPr>
      <w:r w:rsidRPr="00EA3E4A">
        <w:rPr>
          <w:rFonts w:ascii="Arial" w:hAnsi="Arial" w:cs="Arial"/>
          <w:b/>
          <w:bCs/>
          <w:sz w:val="22"/>
          <w:szCs w:val="22"/>
        </w:rPr>
        <w:t>OP Rozvoj vidieka</w:t>
      </w:r>
    </w:p>
    <w:p w:rsidR="00EA3E4A" w:rsidRPr="00EA3E4A" w:rsidRDefault="00EA3E4A" w:rsidP="00EA3E4A">
      <w:pPr>
        <w:pStyle w:val="Odsekzoznamu"/>
        <w:numPr>
          <w:ilvl w:val="0"/>
          <w:numId w:val="33"/>
        </w:numPr>
        <w:autoSpaceDE w:val="0"/>
        <w:autoSpaceDN w:val="0"/>
        <w:contextualSpacing w:val="0"/>
        <w:jc w:val="both"/>
        <w:rPr>
          <w:rFonts w:ascii="Arial" w:hAnsi="Arial" w:cs="Arial"/>
          <w:sz w:val="22"/>
          <w:szCs w:val="22"/>
        </w:rPr>
      </w:pPr>
      <w:r w:rsidRPr="00EA3E4A">
        <w:rPr>
          <w:rFonts w:ascii="Arial" w:hAnsi="Arial" w:cs="Arial"/>
          <w:color w:val="000000"/>
          <w:sz w:val="22"/>
          <w:szCs w:val="22"/>
        </w:rPr>
        <w:t>P</w:t>
      </w:r>
      <w:r w:rsidRPr="00EA3E4A">
        <w:rPr>
          <w:rFonts w:ascii="Arial" w:hAnsi="Arial" w:cs="Arial"/>
          <w:sz w:val="22"/>
          <w:szCs w:val="22"/>
        </w:rPr>
        <w:t>odpora stratégií integrovaného miestneho rozvoja riadeného spoločenstvom prostredníctvom miestnych pracovných skupín a prípravy, realizácie a oživenia miestnych stratégií, ako je sociálne začleňovanie a materiálna a hospodárska obnova vidieckych spoločenstiev</w:t>
      </w:r>
    </w:p>
    <w:p w:rsidR="00EA3E4A" w:rsidRPr="00EA3E4A" w:rsidRDefault="00EA3E4A" w:rsidP="00EA3E4A">
      <w:pPr>
        <w:pStyle w:val="Odsekzoznamu"/>
        <w:numPr>
          <w:ilvl w:val="0"/>
          <w:numId w:val="33"/>
        </w:numPr>
        <w:contextualSpacing w:val="0"/>
        <w:jc w:val="both"/>
        <w:rPr>
          <w:rFonts w:ascii="Arial" w:hAnsi="Arial" w:cs="Arial"/>
          <w:sz w:val="22"/>
          <w:szCs w:val="22"/>
        </w:rPr>
      </w:pPr>
      <w:r w:rsidRPr="00EA3E4A">
        <w:rPr>
          <w:rFonts w:ascii="Arial" w:hAnsi="Arial" w:cs="Arial"/>
          <w:sz w:val="22"/>
          <w:szCs w:val="22"/>
        </w:rPr>
        <w:lastRenderedPageBreak/>
        <w:t>Vytváranie nových malých podnikov a podpora ďalších foriem tvorby pracovných miest vo vidieckych oblastiach, najmä prostredníctvom pomoci pre začatie podnikania pre mikropodniky a malé podniky vo vidieckych oblastiach s dôrazom na rozvoj agroturizmu</w:t>
      </w:r>
    </w:p>
    <w:p w:rsidR="00EA3E4A" w:rsidRPr="00EA3E4A" w:rsidRDefault="00EA3E4A" w:rsidP="00EA3E4A">
      <w:pPr>
        <w:pStyle w:val="Odsekzoznamu"/>
        <w:numPr>
          <w:ilvl w:val="0"/>
          <w:numId w:val="33"/>
        </w:numPr>
        <w:autoSpaceDE w:val="0"/>
        <w:autoSpaceDN w:val="0"/>
        <w:contextualSpacing w:val="0"/>
        <w:jc w:val="both"/>
        <w:rPr>
          <w:rFonts w:ascii="Arial" w:hAnsi="Arial" w:cs="Arial"/>
          <w:sz w:val="22"/>
          <w:szCs w:val="22"/>
        </w:rPr>
      </w:pPr>
      <w:r w:rsidRPr="00EA3E4A">
        <w:rPr>
          <w:rFonts w:ascii="Arial" w:hAnsi="Arial" w:cs="Arial"/>
          <w:sz w:val="22"/>
          <w:szCs w:val="22"/>
        </w:rPr>
        <w:t>Rozvoj samostatnej zárobkovej činnosti, podnikania a zakladania podnikov, najmä v oblastiach ekologického hospodárstva, udržateľného cestovného ruchu (vrátane striebornej ekonomiky)</w:t>
      </w:r>
    </w:p>
    <w:p w:rsidR="00EA3E4A" w:rsidRPr="00EA3E4A" w:rsidRDefault="00EA3E4A" w:rsidP="00EA3E4A">
      <w:pPr>
        <w:pStyle w:val="Odsekzoznamu"/>
        <w:numPr>
          <w:ilvl w:val="0"/>
          <w:numId w:val="33"/>
        </w:numPr>
        <w:autoSpaceDE w:val="0"/>
        <w:autoSpaceDN w:val="0"/>
        <w:contextualSpacing w:val="0"/>
        <w:jc w:val="both"/>
        <w:rPr>
          <w:rFonts w:ascii="Arial" w:hAnsi="Arial" w:cs="Arial"/>
          <w:sz w:val="22"/>
          <w:szCs w:val="22"/>
        </w:rPr>
      </w:pPr>
      <w:r w:rsidRPr="00EA3E4A">
        <w:rPr>
          <w:rFonts w:ascii="Arial" w:hAnsi="Arial" w:cs="Arial"/>
          <w:sz w:val="22"/>
          <w:szCs w:val="22"/>
        </w:rPr>
        <w:t>Ochrana, podpora a rozvoj kultúrneho a prírodného dedičstva, využitie kultúrnej infraštruktúry územia a zabezpečenie dostupnosti, investície do diverzifikácie miestnych hospodárstiev prostredníctvom ochrany a zhodnocovania kultúrneho dedičstva a krajiny</w:t>
      </w:r>
    </w:p>
    <w:p w:rsidR="00EA3E4A" w:rsidRPr="00EA3E4A" w:rsidRDefault="00EA3E4A" w:rsidP="00EA3E4A">
      <w:pPr>
        <w:pStyle w:val="Odsekzoznamu"/>
        <w:numPr>
          <w:ilvl w:val="0"/>
          <w:numId w:val="33"/>
        </w:numPr>
        <w:autoSpaceDE w:val="0"/>
        <w:autoSpaceDN w:val="0"/>
        <w:contextualSpacing w:val="0"/>
        <w:jc w:val="both"/>
        <w:rPr>
          <w:rFonts w:ascii="Arial" w:hAnsi="Arial" w:cs="Arial"/>
          <w:sz w:val="22"/>
          <w:szCs w:val="22"/>
        </w:rPr>
      </w:pPr>
      <w:r w:rsidRPr="00EA3E4A">
        <w:rPr>
          <w:rFonts w:ascii="Arial" w:hAnsi="Arial" w:cs="Arial"/>
          <w:sz w:val="22"/>
          <w:szCs w:val="22"/>
        </w:rPr>
        <w:t>Podpora investícií na prispôsobenie sa zmenám klímy s cieľom znižovania zraniteľnosti ekosystémov a zvýšenia ich odolnosti, predchádzania rizík a ich riadenia vrátane ochrany zdravia ľudí a znižovania budúceho tlaku na vodné zdroje</w:t>
      </w:r>
    </w:p>
    <w:p w:rsidR="00EA3E4A" w:rsidRPr="00EA3E4A" w:rsidRDefault="00EA3E4A" w:rsidP="00EA3E4A">
      <w:pPr>
        <w:numPr>
          <w:ilvl w:val="0"/>
          <w:numId w:val="33"/>
        </w:numPr>
        <w:rPr>
          <w:rFonts w:ascii="Arial" w:hAnsi="Arial" w:cs="Arial"/>
          <w:b/>
          <w:bCs/>
          <w:sz w:val="22"/>
          <w:szCs w:val="22"/>
        </w:rPr>
      </w:pPr>
      <w:r w:rsidRPr="00EA3E4A">
        <w:rPr>
          <w:rFonts w:ascii="Arial" w:hAnsi="Arial" w:cs="Arial"/>
          <w:b/>
          <w:bCs/>
          <w:sz w:val="22"/>
          <w:szCs w:val="22"/>
        </w:rPr>
        <w:t>Technické zabezpečenie programu</w:t>
      </w:r>
    </w:p>
    <w:p w:rsidR="00EA3E4A" w:rsidRPr="00EA3E4A" w:rsidRDefault="00EA3E4A" w:rsidP="00EA3E4A">
      <w:pPr>
        <w:numPr>
          <w:ilvl w:val="0"/>
          <w:numId w:val="33"/>
        </w:numPr>
        <w:rPr>
          <w:rFonts w:ascii="Arial" w:hAnsi="Arial" w:cs="Arial"/>
          <w:sz w:val="22"/>
          <w:szCs w:val="22"/>
        </w:rPr>
      </w:pPr>
      <w:r w:rsidRPr="00EA3E4A">
        <w:rPr>
          <w:rFonts w:ascii="Arial" w:hAnsi="Arial" w:cs="Arial"/>
          <w:sz w:val="22"/>
          <w:szCs w:val="22"/>
        </w:rPr>
        <w:t>Podpora princípu „Leader“ – miestny rozvoj prístupom zdola-nahor</w:t>
      </w:r>
    </w:p>
    <w:p w:rsidR="00EA3E4A" w:rsidRPr="00EA3E4A" w:rsidRDefault="00EA3E4A" w:rsidP="00EA3E4A">
      <w:pPr>
        <w:numPr>
          <w:ilvl w:val="0"/>
          <w:numId w:val="33"/>
        </w:numPr>
        <w:rPr>
          <w:rFonts w:ascii="Arial" w:hAnsi="Arial" w:cs="Arial"/>
          <w:sz w:val="22"/>
          <w:szCs w:val="22"/>
        </w:rPr>
      </w:pPr>
      <w:r w:rsidRPr="00EA3E4A">
        <w:rPr>
          <w:rFonts w:ascii="Arial" w:hAnsi="Arial" w:cs="Arial"/>
          <w:sz w:val="22"/>
          <w:szCs w:val="22"/>
        </w:rPr>
        <w:t>Min. 5% prostriedkov z EPFRV na princíp Leader v rámci Programu rozvoja vidieka</w:t>
      </w:r>
    </w:p>
    <w:p w:rsidR="00EA3E4A" w:rsidRPr="00EA3E4A" w:rsidRDefault="00EA3E4A" w:rsidP="00EA3E4A">
      <w:pPr>
        <w:numPr>
          <w:ilvl w:val="0"/>
          <w:numId w:val="33"/>
        </w:numPr>
        <w:rPr>
          <w:rFonts w:ascii="Arial" w:hAnsi="Arial" w:cs="Arial"/>
          <w:sz w:val="22"/>
          <w:szCs w:val="22"/>
        </w:rPr>
      </w:pPr>
      <w:r w:rsidRPr="00EA3E4A">
        <w:rPr>
          <w:rFonts w:ascii="Arial" w:hAnsi="Arial" w:cs="Arial"/>
          <w:sz w:val="22"/>
          <w:szCs w:val="22"/>
        </w:rPr>
        <w:t>Pre princíp Leader možná podpora vo výške 80% aj pre BSK</w:t>
      </w:r>
    </w:p>
    <w:p w:rsidR="00EA3E4A" w:rsidRPr="00EA3E4A" w:rsidRDefault="00EA3E4A" w:rsidP="00EA3E4A">
      <w:pPr>
        <w:numPr>
          <w:ilvl w:val="0"/>
          <w:numId w:val="33"/>
        </w:numPr>
        <w:rPr>
          <w:rFonts w:ascii="Arial" w:hAnsi="Arial" w:cs="Arial"/>
          <w:sz w:val="22"/>
          <w:szCs w:val="22"/>
        </w:rPr>
      </w:pPr>
      <w:r w:rsidRPr="00EA3E4A">
        <w:rPr>
          <w:rFonts w:ascii="Arial" w:hAnsi="Arial" w:cs="Arial"/>
          <w:sz w:val="22"/>
          <w:szCs w:val="22"/>
        </w:rPr>
        <w:t>Zamedziť obmedzeniam podpory BSK z národnej úrovne nad rámec regulatív EÚ</w:t>
      </w:r>
    </w:p>
    <w:p w:rsidR="00EA3E4A" w:rsidRPr="00EA3E4A" w:rsidRDefault="00EA3E4A" w:rsidP="00EA3E4A">
      <w:pPr>
        <w:numPr>
          <w:ilvl w:val="0"/>
          <w:numId w:val="33"/>
        </w:numPr>
        <w:rPr>
          <w:rFonts w:ascii="Arial" w:hAnsi="Arial" w:cs="Arial"/>
          <w:sz w:val="22"/>
          <w:szCs w:val="22"/>
        </w:rPr>
      </w:pPr>
      <w:r w:rsidRPr="00EA3E4A">
        <w:rPr>
          <w:rFonts w:ascii="Arial" w:hAnsi="Arial" w:cs="Arial"/>
          <w:sz w:val="22"/>
          <w:szCs w:val="22"/>
        </w:rPr>
        <w:t>Podpora integrovaného prístupu a MAS aj v Bratislavskom kraji (vrátane registrácie)</w:t>
      </w:r>
    </w:p>
    <w:p w:rsidR="00EA3E4A" w:rsidRPr="00EA3E4A" w:rsidRDefault="00EA3E4A" w:rsidP="00EA3E4A">
      <w:pPr>
        <w:numPr>
          <w:ilvl w:val="0"/>
          <w:numId w:val="33"/>
        </w:numPr>
        <w:rPr>
          <w:rFonts w:ascii="Arial" w:hAnsi="Arial" w:cs="Arial"/>
          <w:sz w:val="22"/>
          <w:szCs w:val="22"/>
        </w:rPr>
      </w:pPr>
      <w:r w:rsidRPr="00EA3E4A">
        <w:rPr>
          <w:rFonts w:ascii="Arial" w:hAnsi="Arial" w:cs="Arial"/>
          <w:sz w:val="22"/>
          <w:szCs w:val="22"/>
        </w:rPr>
        <w:t>Miestny rozvoj -  nástroj pre podporu vidieka, podpora mladých farmárov a malých fariem</w:t>
      </w:r>
    </w:p>
    <w:p w:rsidR="00EA3E4A" w:rsidRPr="00EA3E4A" w:rsidRDefault="00EA3E4A" w:rsidP="00EA3E4A">
      <w:pPr>
        <w:numPr>
          <w:ilvl w:val="0"/>
          <w:numId w:val="33"/>
        </w:numPr>
        <w:rPr>
          <w:rFonts w:ascii="Arial" w:hAnsi="Arial" w:cs="Arial"/>
          <w:sz w:val="22"/>
          <w:szCs w:val="22"/>
        </w:rPr>
      </w:pPr>
      <w:r w:rsidRPr="00EA3E4A">
        <w:rPr>
          <w:rFonts w:ascii="Arial" w:hAnsi="Arial" w:cs="Arial"/>
          <w:sz w:val="22"/>
          <w:szCs w:val="22"/>
        </w:rPr>
        <w:t>Potreba otvorených priebežných výziev</w:t>
      </w:r>
    </w:p>
    <w:p w:rsidR="00EA3E4A" w:rsidRPr="004447BF" w:rsidRDefault="00EA3E4A" w:rsidP="004447BF">
      <w:pPr>
        <w:autoSpaceDE w:val="0"/>
        <w:autoSpaceDN w:val="0"/>
        <w:jc w:val="both"/>
        <w:rPr>
          <w:rFonts w:ascii="Arial" w:hAnsi="Arial" w:cs="Arial"/>
          <w:sz w:val="22"/>
          <w:szCs w:val="22"/>
        </w:rPr>
      </w:pPr>
    </w:p>
    <w:p w:rsidR="00EA3E4A" w:rsidRPr="00EA3E4A" w:rsidRDefault="00EA3E4A" w:rsidP="00EA3E4A">
      <w:pPr>
        <w:autoSpaceDE w:val="0"/>
        <w:autoSpaceDN w:val="0"/>
        <w:jc w:val="both"/>
        <w:rPr>
          <w:rFonts w:ascii="Arial" w:hAnsi="Arial" w:cs="Arial"/>
          <w:b/>
          <w:bCs/>
          <w:sz w:val="22"/>
          <w:szCs w:val="22"/>
        </w:rPr>
      </w:pPr>
      <w:r w:rsidRPr="00EA3E4A">
        <w:rPr>
          <w:rFonts w:ascii="Arial" w:hAnsi="Arial" w:cs="Arial"/>
          <w:b/>
          <w:bCs/>
          <w:sz w:val="22"/>
          <w:szCs w:val="22"/>
        </w:rPr>
        <w:t>OP Vodné hospodárstvo</w:t>
      </w:r>
    </w:p>
    <w:p w:rsidR="00EA3E4A" w:rsidRPr="00EA3E4A" w:rsidRDefault="00EA3E4A" w:rsidP="00EA3E4A">
      <w:pPr>
        <w:pStyle w:val="Odsekzoznamu"/>
        <w:numPr>
          <w:ilvl w:val="0"/>
          <w:numId w:val="34"/>
        </w:numPr>
        <w:autoSpaceDE w:val="0"/>
        <w:autoSpaceDN w:val="0"/>
        <w:contextualSpacing w:val="0"/>
        <w:jc w:val="both"/>
        <w:rPr>
          <w:rFonts w:ascii="Arial" w:hAnsi="Arial" w:cs="Arial"/>
          <w:b/>
          <w:bCs/>
          <w:sz w:val="22"/>
          <w:szCs w:val="22"/>
        </w:rPr>
      </w:pPr>
      <w:r w:rsidRPr="00EA3E4A">
        <w:rPr>
          <w:rFonts w:ascii="Arial" w:hAnsi="Arial" w:cs="Arial"/>
          <w:sz w:val="22"/>
          <w:szCs w:val="22"/>
        </w:rPr>
        <w:t>Rozvoj podnikov, podnikateľských zručností a podnikania v oblasti rybného hospodárstva a akvakultúry v záujme zvýšenia ich konkurencieschopnosti, životaschopnosti a udržateľnosti</w:t>
      </w:r>
    </w:p>
    <w:p w:rsidR="00EA3E4A" w:rsidRPr="00EA3E4A" w:rsidRDefault="00EA3E4A" w:rsidP="00EA3E4A">
      <w:pPr>
        <w:pStyle w:val="Odsekzoznamu"/>
        <w:numPr>
          <w:ilvl w:val="0"/>
          <w:numId w:val="34"/>
        </w:numPr>
        <w:autoSpaceDE w:val="0"/>
        <w:autoSpaceDN w:val="0"/>
        <w:contextualSpacing w:val="0"/>
        <w:jc w:val="both"/>
        <w:rPr>
          <w:rFonts w:ascii="Arial" w:hAnsi="Arial" w:cs="Arial"/>
          <w:b/>
          <w:bCs/>
          <w:sz w:val="22"/>
          <w:szCs w:val="22"/>
        </w:rPr>
      </w:pPr>
      <w:r w:rsidRPr="00EA3E4A">
        <w:rPr>
          <w:rFonts w:ascii="Arial" w:hAnsi="Arial" w:cs="Arial"/>
          <w:sz w:val="22"/>
          <w:szCs w:val="22"/>
        </w:rPr>
        <w:t>Investície do akvakultúry s vysokou úrovňou ochrany životného prostredia a poskytovanie služieb v oblasti životného prostredia</w:t>
      </w:r>
    </w:p>
    <w:p w:rsidR="006F02D9" w:rsidRPr="00EA3E4A" w:rsidRDefault="006F02D9" w:rsidP="00EA3E4A">
      <w:pPr>
        <w:autoSpaceDE w:val="0"/>
        <w:autoSpaceDN w:val="0"/>
        <w:adjustRightInd w:val="0"/>
        <w:contextualSpacing/>
        <w:jc w:val="both"/>
        <w:rPr>
          <w:rFonts w:ascii="Arial" w:hAnsi="Arial" w:cs="Arial"/>
          <w:b/>
          <w:sz w:val="22"/>
          <w:szCs w:val="22"/>
        </w:rPr>
      </w:pPr>
    </w:p>
    <w:p w:rsidR="00AD4CD8" w:rsidRPr="00AD4CD8" w:rsidRDefault="00AD4CD8" w:rsidP="00EA3E4A">
      <w:pPr>
        <w:autoSpaceDE w:val="0"/>
        <w:autoSpaceDN w:val="0"/>
        <w:adjustRightInd w:val="0"/>
        <w:contextualSpacing/>
        <w:jc w:val="both"/>
        <w:rPr>
          <w:rFonts w:ascii="Arial" w:hAnsi="Arial" w:cs="Arial"/>
          <w:sz w:val="22"/>
          <w:szCs w:val="22"/>
        </w:rPr>
      </w:pPr>
      <w:r w:rsidRPr="00EA3E4A">
        <w:rPr>
          <w:rFonts w:ascii="Arial" w:hAnsi="Arial" w:cs="Arial"/>
          <w:sz w:val="22"/>
          <w:szCs w:val="22"/>
        </w:rPr>
        <w:t>V nadväzno</w:t>
      </w:r>
      <w:r w:rsidRPr="00AD4CD8">
        <w:rPr>
          <w:rFonts w:ascii="Arial" w:hAnsi="Arial" w:cs="Arial"/>
          <w:sz w:val="22"/>
          <w:szCs w:val="22"/>
        </w:rPr>
        <w:t xml:space="preserve">sti na možnosti, ktoré vytvára európska regulatíva (čl. 60.2 návrhu všeobecného nariadenia) - možnosť použitia prostriedkov na aktivity mimo oprávneného územia  operačného programu v prípade ich potreby pre naplnenie cieľov daného programu až do výšky 15% prioritnej osi, má ambíciu </w:t>
      </w:r>
      <w:r w:rsidR="00AC30B3">
        <w:rPr>
          <w:rFonts w:ascii="Arial" w:hAnsi="Arial" w:cs="Arial"/>
          <w:sz w:val="22"/>
          <w:szCs w:val="22"/>
        </w:rPr>
        <w:t xml:space="preserve">pre </w:t>
      </w:r>
      <w:r w:rsidRPr="00AD4CD8">
        <w:rPr>
          <w:rFonts w:ascii="Arial" w:hAnsi="Arial" w:cs="Arial"/>
          <w:sz w:val="22"/>
          <w:szCs w:val="22"/>
        </w:rPr>
        <w:t>územie BSK uchádzať sa o</w:t>
      </w:r>
      <w:r w:rsidR="0041061B">
        <w:rPr>
          <w:rFonts w:ascii="Arial" w:hAnsi="Arial" w:cs="Arial"/>
          <w:sz w:val="22"/>
          <w:szCs w:val="22"/>
        </w:rPr>
        <w:t> </w:t>
      </w:r>
      <w:r w:rsidRPr="00AD4CD8">
        <w:rPr>
          <w:rFonts w:ascii="Arial" w:hAnsi="Arial" w:cs="Arial"/>
          <w:sz w:val="22"/>
          <w:szCs w:val="22"/>
        </w:rPr>
        <w:t>podporu</w:t>
      </w:r>
      <w:r w:rsidR="0041061B">
        <w:rPr>
          <w:rFonts w:ascii="Arial" w:hAnsi="Arial" w:cs="Arial"/>
          <w:sz w:val="22"/>
          <w:szCs w:val="22"/>
        </w:rPr>
        <w:t>.</w:t>
      </w:r>
    </w:p>
    <w:p w:rsidR="00AC30B3" w:rsidRDefault="00AC30B3" w:rsidP="00654EA0">
      <w:pPr>
        <w:jc w:val="both"/>
        <w:rPr>
          <w:rFonts w:ascii="Arial" w:hAnsi="Arial" w:cs="Arial"/>
          <w:b/>
          <w:bCs/>
          <w:sz w:val="22"/>
          <w:szCs w:val="22"/>
        </w:rPr>
      </w:pPr>
    </w:p>
    <w:p w:rsidR="00EC61D5" w:rsidRDefault="00DF62C1" w:rsidP="00654EA0">
      <w:pPr>
        <w:jc w:val="both"/>
        <w:rPr>
          <w:rFonts w:ascii="Arial" w:hAnsi="Arial" w:cs="Arial"/>
          <w:b/>
          <w:bCs/>
          <w:sz w:val="22"/>
          <w:szCs w:val="22"/>
        </w:rPr>
      </w:pPr>
      <w:r w:rsidRPr="005C1A66">
        <w:rPr>
          <w:rFonts w:ascii="Arial" w:hAnsi="Arial" w:cs="Arial"/>
          <w:b/>
          <w:bCs/>
          <w:sz w:val="22"/>
          <w:szCs w:val="22"/>
        </w:rPr>
        <w:t xml:space="preserve">Navrhované </w:t>
      </w:r>
      <w:r w:rsidR="00EC61D5">
        <w:rPr>
          <w:rFonts w:ascii="Arial" w:hAnsi="Arial" w:cs="Arial"/>
          <w:b/>
          <w:bCs/>
          <w:sz w:val="22"/>
          <w:szCs w:val="22"/>
        </w:rPr>
        <w:t xml:space="preserve">sektorové </w:t>
      </w:r>
      <w:r w:rsidRPr="005C1A66">
        <w:rPr>
          <w:rFonts w:ascii="Arial" w:hAnsi="Arial" w:cs="Arial"/>
          <w:b/>
          <w:bCs/>
          <w:sz w:val="22"/>
          <w:szCs w:val="22"/>
        </w:rPr>
        <w:t xml:space="preserve">operačné programy zatiaľ neboli predložené na pripomienkovanie. </w:t>
      </w:r>
    </w:p>
    <w:p w:rsidR="00DF62C1" w:rsidRPr="005C1A66" w:rsidRDefault="00DF62C1" w:rsidP="00654EA0">
      <w:pPr>
        <w:jc w:val="both"/>
        <w:rPr>
          <w:rFonts w:ascii="Arial" w:hAnsi="Arial" w:cs="Arial"/>
          <w:b/>
          <w:bCs/>
          <w:sz w:val="22"/>
          <w:szCs w:val="22"/>
        </w:rPr>
      </w:pPr>
      <w:r w:rsidRPr="005C1A66">
        <w:rPr>
          <w:rFonts w:ascii="Arial" w:hAnsi="Arial" w:cs="Arial"/>
          <w:b/>
          <w:bCs/>
          <w:sz w:val="22"/>
          <w:szCs w:val="22"/>
        </w:rPr>
        <w:t xml:space="preserve">Všetky pozície BSK sú predmetom vyjednávania. </w:t>
      </w:r>
    </w:p>
    <w:p w:rsidR="00E84178" w:rsidRPr="005C1A66" w:rsidRDefault="00E84178" w:rsidP="00654EA0">
      <w:pPr>
        <w:jc w:val="both"/>
        <w:rPr>
          <w:rFonts w:ascii="Arial" w:hAnsi="Arial" w:cs="Arial"/>
          <w:color w:val="000000"/>
          <w:sz w:val="22"/>
          <w:szCs w:val="22"/>
        </w:rPr>
      </w:pPr>
    </w:p>
    <w:p w:rsidR="004447BF" w:rsidRDefault="004447BF" w:rsidP="00654EA0">
      <w:pPr>
        <w:pStyle w:val="Odsekzoznamu"/>
        <w:autoSpaceDE w:val="0"/>
        <w:autoSpaceDN w:val="0"/>
        <w:ind w:left="0"/>
        <w:jc w:val="both"/>
        <w:rPr>
          <w:rFonts w:ascii="Arial" w:hAnsi="Arial" w:cs="Arial"/>
          <w:b/>
          <w:bCs/>
          <w:sz w:val="22"/>
          <w:szCs w:val="22"/>
        </w:rPr>
      </w:pPr>
    </w:p>
    <w:p w:rsidR="005C1A66" w:rsidRPr="005C1A66" w:rsidRDefault="00EC61D5" w:rsidP="00654EA0">
      <w:pPr>
        <w:pStyle w:val="Odsekzoznamu"/>
        <w:autoSpaceDE w:val="0"/>
        <w:autoSpaceDN w:val="0"/>
        <w:ind w:left="0"/>
        <w:jc w:val="both"/>
        <w:rPr>
          <w:rFonts w:ascii="Arial" w:hAnsi="Arial" w:cs="Arial"/>
          <w:b/>
          <w:bCs/>
          <w:sz w:val="22"/>
          <w:szCs w:val="22"/>
        </w:rPr>
      </w:pPr>
      <w:r>
        <w:rPr>
          <w:rFonts w:ascii="Arial" w:hAnsi="Arial" w:cs="Arial"/>
          <w:b/>
          <w:bCs/>
          <w:sz w:val="22"/>
          <w:szCs w:val="22"/>
        </w:rPr>
        <w:t>Pozícia BSK v rámci c</w:t>
      </w:r>
      <w:r w:rsidR="005C1A66" w:rsidRPr="005C1A66">
        <w:rPr>
          <w:rFonts w:ascii="Arial" w:hAnsi="Arial" w:cs="Arial"/>
          <w:b/>
          <w:bCs/>
          <w:sz w:val="22"/>
          <w:szCs w:val="22"/>
        </w:rPr>
        <w:t>ezhraničn</w:t>
      </w:r>
      <w:r w:rsidR="0041061B">
        <w:rPr>
          <w:rFonts w:ascii="Arial" w:hAnsi="Arial" w:cs="Arial"/>
          <w:b/>
          <w:bCs/>
          <w:sz w:val="22"/>
          <w:szCs w:val="22"/>
        </w:rPr>
        <w:t>ej spolupráce</w:t>
      </w:r>
    </w:p>
    <w:p w:rsidR="005C1A66" w:rsidRPr="005C1A66" w:rsidRDefault="005C1A66" w:rsidP="00654EA0">
      <w:pPr>
        <w:autoSpaceDE w:val="0"/>
        <w:autoSpaceDN w:val="0"/>
        <w:jc w:val="both"/>
        <w:rPr>
          <w:rFonts w:ascii="Arial" w:hAnsi="Arial" w:cs="Arial"/>
          <w:sz w:val="22"/>
          <w:szCs w:val="22"/>
        </w:rPr>
      </w:pPr>
    </w:p>
    <w:p w:rsidR="0082058F" w:rsidRDefault="005C1A66" w:rsidP="00654EA0">
      <w:pPr>
        <w:autoSpaceDE w:val="0"/>
        <w:autoSpaceDN w:val="0"/>
        <w:jc w:val="both"/>
        <w:rPr>
          <w:rFonts w:ascii="Arial" w:hAnsi="Arial" w:cs="Arial"/>
          <w:sz w:val="22"/>
          <w:szCs w:val="22"/>
        </w:rPr>
      </w:pPr>
      <w:r w:rsidRPr="005C1A66">
        <w:rPr>
          <w:rFonts w:ascii="Arial" w:hAnsi="Arial" w:cs="Arial"/>
          <w:sz w:val="22"/>
          <w:szCs w:val="22"/>
        </w:rPr>
        <w:t xml:space="preserve">V programovom období 2014 – 2020 </w:t>
      </w:r>
      <w:r w:rsidR="00EC61D5">
        <w:rPr>
          <w:rFonts w:ascii="Arial" w:hAnsi="Arial" w:cs="Arial"/>
          <w:sz w:val="22"/>
          <w:szCs w:val="22"/>
        </w:rPr>
        <w:t xml:space="preserve">BSK </w:t>
      </w:r>
      <w:r w:rsidRPr="005C1A66">
        <w:rPr>
          <w:rFonts w:ascii="Arial" w:hAnsi="Arial" w:cs="Arial"/>
          <w:sz w:val="22"/>
          <w:szCs w:val="22"/>
        </w:rPr>
        <w:t>navrhujeme zachovať súčasné pr</w:t>
      </w:r>
      <w:r w:rsidR="00A03C84">
        <w:rPr>
          <w:rFonts w:ascii="Arial" w:hAnsi="Arial" w:cs="Arial"/>
          <w:sz w:val="22"/>
          <w:szCs w:val="22"/>
        </w:rPr>
        <w:t xml:space="preserve">ogramy cezhraničnej spolupráce SK – AT, SK – HU a participovať ako pridružený región na cezhraničnej spolupráci SK – CZ. </w:t>
      </w:r>
      <w:r w:rsidRPr="0035350D">
        <w:rPr>
          <w:rFonts w:ascii="Arial" w:hAnsi="Arial" w:cs="Arial"/>
          <w:b/>
          <w:sz w:val="22"/>
          <w:szCs w:val="22"/>
        </w:rPr>
        <w:t>Obsah jednotlivých programov cezhraničnej spolupráce bude výsledkom bilaterálnych rokovaní RO so spoločnými sekretariátmi a stanovený podľa špecifík jednot</w:t>
      </w:r>
      <w:r w:rsidR="0082058F" w:rsidRPr="0035350D">
        <w:rPr>
          <w:rFonts w:ascii="Arial" w:hAnsi="Arial" w:cs="Arial"/>
          <w:b/>
          <w:sz w:val="22"/>
          <w:szCs w:val="22"/>
        </w:rPr>
        <w:t>livých prihraničných území SR.</w:t>
      </w:r>
      <w:r w:rsidR="00EC61D5">
        <w:rPr>
          <w:rFonts w:ascii="Arial" w:hAnsi="Arial" w:cs="Arial"/>
          <w:sz w:val="22"/>
          <w:szCs w:val="22"/>
        </w:rPr>
        <w:t xml:space="preserve"> </w:t>
      </w:r>
      <w:r w:rsidR="00EC61D5" w:rsidRPr="008C6106">
        <w:rPr>
          <w:rFonts w:ascii="Arial" w:hAnsi="Arial" w:cs="Arial"/>
          <w:b/>
          <w:sz w:val="22"/>
          <w:szCs w:val="22"/>
        </w:rPr>
        <w:t>Podmienkou Európskej komisie je výber 4+1 tematických cieľov</w:t>
      </w:r>
      <w:r w:rsidR="008C6106">
        <w:rPr>
          <w:rFonts w:ascii="Arial" w:hAnsi="Arial" w:cs="Arial"/>
          <w:b/>
          <w:sz w:val="22"/>
          <w:szCs w:val="22"/>
        </w:rPr>
        <w:t>, v rámci Stratégie EÚ 2020</w:t>
      </w:r>
      <w:r w:rsidR="00EC61D5" w:rsidRPr="008C6106">
        <w:rPr>
          <w:rFonts w:ascii="Arial" w:hAnsi="Arial" w:cs="Arial"/>
          <w:b/>
          <w:sz w:val="22"/>
          <w:szCs w:val="22"/>
        </w:rPr>
        <w:t>, ktoré by mali byť financované z </w:t>
      </w:r>
      <w:r w:rsidR="008C6106">
        <w:rPr>
          <w:rFonts w:ascii="Arial" w:hAnsi="Arial" w:cs="Arial"/>
          <w:b/>
          <w:sz w:val="22"/>
          <w:szCs w:val="22"/>
        </w:rPr>
        <w:t>EFRR</w:t>
      </w:r>
      <w:r w:rsidR="00EC61D5">
        <w:rPr>
          <w:rFonts w:ascii="Arial" w:hAnsi="Arial" w:cs="Arial"/>
          <w:sz w:val="22"/>
          <w:szCs w:val="22"/>
        </w:rPr>
        <w:t>.</w:t>
      </w:r>
    </w:p>
    <w:p w:rsidR="00804F73" w:rsidRDefault="00804F73" w:rsidP="00654EA0">
      <w:pPr>
        <w:autoSpaceDE w:val="0"/>
        <w:autoSpaceDN w:val="0"/>
        <w:jc w:val="both"/>
        <w:rPr>
          <w:rFonts w:ascii="Arial" w:hAnsi="Arial" w:cs="Arial"/>
          <w:sz w:val="22"/>
          <w:szCs w:val="22"/>
        </w:rPr>
      </w:pPr>
    </w:p>
    <w:p w:rsidR="00E84178" w:rsidRPr="00D87540" w:rsidRDefault="00E84178" w:rsidP="00E84178">
      <w:pPr>
        <w:jc w:val="both"/>
        <w:rPr>
          <w:rFonts w:ascii="Arial" w:hAnsi="Arial" w:cs="Arial"/>
          <w:b/>
          <w:bCs/>
          <w:sz w:val="22"/>
          <w:szCs w:val="22"/>
        </w:rPr>
      </w:pPr>
      <w:r w:rsidRPr="00D87540">
        <w:rPr>
          <w:rFonts w:ascii="Arial" w:hAnsi="Arial" w:cs="Arial"/>
          <w:b/>
          <w:bCs/>
          <w:sz w:val="22"/>
          <w:szCs w:val="22"/>
        </w:rPr>
        <w:t>Európska územná spolupráca</w:t>
      </w:r>
      <w:r w:rsidR="00D87540" w:rsidRPr="00D87540">
        <w:rPr>
          <w:rFonts w:ascii="Arial" w:hAnsi="Arial" w:cs="Arial"/>
          <w:sz w:val="22"/>
          <w:szCs w:val="22"/>
        </w:rPr>
        <w:t xml:space="preserve"> je</w:t>
      </w:r>
      <w:r w:rsidRPr="00D87540">
        <w:rPr>
          <w:rFonts w:ascii="Arial" w:hAnsi="Arial" w:cs="Arial"/>
          <w:sz w:val="22"/>
          <w:szCs w:val="22"/>
        </w:rPr>
        <w:t xml:space="preserve"> podporovaná </w:t>
      </w:r>
      <w:r w:rsidR="0041061B">
        <w:rPr>
          <w:rFonts w:ascii="Arial" w:hAnsi="Arial" w:cs="Arial"/>
          <w:b/>
          <w:bCs/>
          <w:sz w:val="22"/>
          <w:szCs w:val="22"/>
        </w:rPr>
        <w:t>z EFRR</w:t>
      </w:r>
      <w:r w:rsidRPr="00D87540">
        <w:rPr>
          <w:rFonts w:ascii="Arial" w:hAnsi="Arial" w:cs="Arial"/>
          <w:b/>
          <w:bCs/>
          <w:sz w:val="22"/>
          <w:szCs w:val="22"/>
        </w:rPr>
        <w:t xml:space="preserve"> (3,48% finančných zdrojov), t.j. 11,7 mld. eur.</w:t>
      </w:r>
    </w:p>
    <w:p w:rsidR="00E84178" w:rsidRPr="00D87540" w:rsidRDefault="00E84178" w:rsidP="00E84178">
      <w:pPr>
        <w:jc w:val="both"/>
        <w:rPr>
          <w:rFonts w:ascii="Arial" w:hAnsi="Arial" w:cs="Arial"/>
          <w:sz w:val="22"/>
          <w:szCs w:val="22"/>
        </w:rPr>
      </w:pPr>
    </w:p>
    <w:p w:rsidR="002B2F09" w:rsidRDefault="002B2F09" w:rsidP="00E84178">
      <w:pPr>
        <w:jc w:val="both"/>
        <w:rPr>
          <w:rFonts w:ascii="Arial" w:hAnsi="Arial" w:cs="Arial"/>
          <w:b/>
          <w:bCs/>
          <w:sz w:val="22"/>
          <w:szCs w:val="22"/>
        </w:rPr>
        <w:sectPr w:rsidR="002B2F09" w:rsidSect="00A72672">
          <w:footerReference w:type="default" r:id="rId16"/>
          <w:pgSz w:w="12240" w:h="15840"/>
          <w:pgMar w:top="851" w:right="1417" w:bottom="1135" w:left="1417" w:header="708" w:footer="708" w:gutter="0"/>
          <w:pgNumType w:start="1"/>
          <w:cols w:space="708"/>
          <w:titlePg/>
          <w:docGrid w:linePitch="326"/>
        </w:sectPr>
      </w:pPr>
    </w:p>
    <w:p w:rsidR="00E84178" w:rsidRDefault="00E84178" w:rsidP="00E84178">
      <w:pPr>
        <w:jc w:val="both"/>
        <w:rPr>
          <w:rFonts w:ascii="Arial" w:hAnsi="Arial" w:cs="Arial"/>
          <w:b/>
          <w:bCs/>
          <w:sz w:val="22"/>
          <w:szCs w:val="22"/>
        </w:rPr>
      </w:pPr>
      <w:r w:rsidRPr="00D87540">
        <w:rPr>
          <w:rFonts w:ascii="Arial" w:hAnsi="Arial" w:cs="Arial"/>
          <w:b/>
          <w:bCs/>
          <w:sz w:val="22"/>
          <w:szCs w:val="22"/>
        </w:rPr>
        <w:lastRenderedPageBreak/>
        <w:t xml:space="preserve">Návrh pre rozdelenie finančných prostriedkov v rámci Európskej územnej spolupráce: </w:t>
      </w:r>
    </w:p>
    <w:p w:rsidR="002B2F09" w:rsidRPr="00D87540" w:rsidRDefault="002B2F09" w:rsidP="00E84178">
      <w:pPr>
        <w:jc w:val="both"/>
        <w:rPr>
          <w:rFonts w:ascii="Arial" w:hAnsi="Arial" w:cs="Arial"/>
          <w:b/>
          <w:bCs/>
          <w:sz w:val="22"/>
          <w:szCs w:val="22"/>
        </w:rPr>
      </w:pPr>
    </w:p>
    <w:p w:rsidR="00E84178" w:rsidRPr="002B2F09" w:rsidRDefault="00E84178" w:rsidP="002B2F09">
      <w:pPr>
        <w:pStyle w:val="Odsekzoznamu"/>
        <w:numPr>
          <w:ilvl w:val="1"/>
          <w:numId w:val="45"/>
        </w:numPr>
        <w:autoSpaceDE w:val="0"/>
        <w:autoSpaceDN w:val="0"/>
        <w:ind w:left="567"/>
        <w:rPr>
          <w:rFonts w:ascii="Arial" w:hAnsi="Arial" w:cs="Arial"/>
          <w:sz w:val="22"/>
          <w:szCs w:val="22"/>
        </w:rPr>
      </w:pPr>
      <w:r w:rsidRPr="002B2F09">
        <w:rPr>
          <w:rFonts w:ascii="Arial" w:hAnsi="Arial" w:cs="Arial"/>
          <w:sz w:val="22"/>
          <w:szCs w:val="22"/>
        </w:rPr>
        <w:t xml:space="preserve">73,24 % (t. j. spolu </w:t>
      </w:r>
      <w:r w:rsidRPr="002B2F09">
        <w:rPr>
          <w:rFonts w:ascii="Arial" w:hAnsi="Arial" w:cs="Arial"/>
          <w:b/>
          <w:bCs/>
          <w:sz w:val="22"/>
          <w:szCs w:val="22"/>
        </w:rPr>
        <w:t>8 569 000 003 EUR) na cezhraničnú spoluprácu</w:t>
      </w:r>
      <w:r w:rsidRPr="002B2F09">
        <w:rPr>
          <w:rFonts w:ascii="Arial" w:hAnsi="Arial" w:cs="Arial"/>
          <w:sz w:val="22"/>
          <w:szCs w:val="22"/>
        </w:rPr>
        <w:t>; regióny NUTS 3 (SK-AT, SK-HU, SK-CZ, SK-PL),</w:t>
      </w:r>
    </w:p>
    <w:p w:rsidR="00E84178" w:rsidRPr="002B2F09" w:rsidRDefault="00E84178" w:rsidP="002B2F09">
      <w:pPr>
        <w:pStyle w:val="Odsekzoznamu"/>
        <w:numPr>
          <w:ilvl w:val="1"/>
          <w:numId w:val="45"/>
        </w:numPr>
        <w:autoSpaceDE w:val="0"/>
        <w:autoSpaceDN w:val="0"/>
        <w:ind w:left="567"/>
        <w:rPr>
          <w:rFonts w:ascii="Arial" w:hAnsi="Arial" w:cs="Arial"/>
          <w:sz w:val="22"/>
          <w:szCs w:val="22"/>
        </w:rPr>
      </w:pPr>
      <w:r w:rsidRPr="002B2F09">
        <w:rPr>
          <w:rFonts w:ascii="Arial" w:hAnsi="Arial" w:cs="Arial"/>
          <w:sz w:val="22"/>
          <w:szCs w:val="22"/>
        </w:rPr>
        <w:t xml:space="preserve">20,78 % (t. j. spolu </w:t>
      </w:r>
      <w:r w:rsidRPr="002B2F09">
        <w:rPr>
          <w:rFonts w:ascii="Arial" w:hAnsi="Arial" w:cs="Arial"/>
          <w:b/>
          <w:bCs/>
          <w:sz w:val="22"/>
          <w:szCs w:val="22"/>
        </w:rPr>
        <w:t>2 431 000 001 EUR) na nadnárodnú spoluprácu</w:t>
      </w:r>
      <w:r w:rsidRPr="002B2F09">
        <w:rPr>
          <w:rFonts w:ascii="Arial" w:hAnsi="Arial" w:cs="Arial"/>
          <w:sz w:val="22"/>
          <w:szCs w:val="22"/>
        </w:rPr>
        <w:t>; regióny NUTS 2 (program Strednej Európy a Juhovýchodnej Európy)</w:t>
      </w:r>
      <w:r w:rsidR="0041061B">
        <w:rPr>
          <w:rFonts w:ascii="Arial" w:hAnsi="Arial" w:cs="Arial"/>
          <w:sz w:val="22"/>
          <w:szCs w:val="22"/>
        </w:rPr>
        <w:t>,</w:t>
      </w:r>
    </w:p>
    <w:p w:rsidR="00E84178" w:rsidRPr="002B2F09" w:rsidRDefault="00E84178" w:rsidP="002B2F09">
      <w:pPr>
        <w:pStyle w:val="Odsekzoznamu"/>
        <w:numPr>
          <w:ilvl w:val="1"/>
          <w:numId w:val="45"/>
        </w:numPr>
        <w:ind w:left="567"/>
        <w:jc w:val="both"/>
        <w:rPr>
          <w:rFonts w:ascii="Arial" w:hAnsi="Arial" w:cs="Arial"/>
          <w:sz w:val="22"/>
          <w:szCs w:val="22"/>
        </w:rPr>
      </w:pPr>
      <w:r w:rsidRPr="002B2F09">
        <w:rPr>
          <w:rFonts w:ascii="Arial" w:hAnsi="Arial" w:cs="Arial"/>
          <w:sz w:val="22"/>
          <w:szCs w:val="22"/>
        </w:rPr>
        <w:t xml:space="preserve">5,98 % (t. j. spolu </w:t>
      </w:r>
      <w:r w:rsidRPr="002B2F09">
        <w:rPr>
          <w:rFonts w:ascii="Arial" w:hAnsi="Arial" w:cs="Arial"/>
          <w:b/>
          <w:bCs/>
          <w:sz w:val="22"/>
          <w:szCs w:val="22"/>
        </w:rPr>
        <w:t>700 000 000 EUR) na medziregionálnu spoluprácu</w:t>
      </w:r>
      <w:r w:rsidRPr="002B2F09">
        <w:rPr>
          <w:rFonts w:ascii="Arial" w:hAnsi="Arial" w:cs="Arial"/>
          <w:sz w:val="22"/>
          <w:szCs w:val="22"/>
        </w:rPr>
        <w:t>; celé úz</w:t>
      </w:r>
      <w:r w:rsidR="00791EDF">
        <w:rPr>
          <w:rFonts w:ascii="Arial" w:hAnsi="Arial" w:cs="Arial"/>
          <w:sz w:val="22"/>
          <w:szCs w:val="22"/>
        </w:rPr>
        <w:t>emie EÚ (INTE</w:t>
      </w:r>
      <w:r w:rsidRPr="002B2F09">
        <w:rPr>
          <w:rFonts w:ascii="Arial" w:hAnsi="Arial" w:cs="Arial"/>
          <w:sz w:val="22"/>
          <w:szCs w:val="22"/>
        </w:rPr>
        <w:t>RACT,</w:t>
      </w:r>
      <w:r w:rsidR="00791EDF">
        <w:rPr>
          <w:rFonts w:ascii="Arial" w:hAnsi="Arial" w:cs="Arial"/>
          <w:sz w:val="22"/>
          <w:szCs w:val="22"/>
        </w:rPr>
        <w:t xml:space="preserve"> INTERGER IVC</w:t>
      </w:r>
      <w:r w:rsidR="000037E2">
        <w:rPr>
          <w:rFonts w:ascii="Arial" w:hAnsi="Arial" w:cs="Arial"/>
          <w:sz w:val="22"/>
          <w:szCs w:val="22"/>
        </w:rPr>
        <w:t>,</w:t>
      </w:r>
      <w:r w:rsidRPr="002B2F09">
        <w:rPr>
          <w:rFonts w:ascii="Arial" w:hAnsi="Arial" w:cs="Arial"/>
          <w:sz w:val="22"/>
          <w:szCs w:val="22"/>
        </w:rPr>
        <w:t xml:space="preserve"> ESPON, URBACT).</w:t>
      </w:r>
    </w:p>
    <w:p w:rsidR="00E84178" w:rsidRPr="00D87540" w:rsidRDefault="00E84178" w:rsidP="00E84178">
      <w:pPr>
        <w:jc w:val="both"/>
        <w:rPr>
          <w:rFonts w:ascii="Arial" w:hAnsi="Arial" w:cs="Arial"/>
          <w:sz w:val="22"/>
          <w:szCs w:val="22"/>
        </w:rPr>
      </w:pPr>
    </w:p>
    <w:p w:rsidR="00E84178" w:rsidRPr="00D87540" w:rsidRDefault="00E84178" w:rsidP="00E84178">
      <w:pPr>
        <w:jc w:val="both"/>
        <w:rPr>
          <w:rFonts w:ascii="Arial" w:hAnsi="Arial" w:cs="Arial"/>
          <w:sz w:val="22"/>
          <w:szCs w:val="22"/>
        </w:rPr>
      </w:pPr>
      <w:r w:rsidRPr="00D87540">
        <w:rPr>
          <w:rFonts w:ascii="Arial" w:hAnsi="Arial" w:cs="Arial"/>
          <w:b/>
          <w:bCs/>
          <w:sz w:val="22"/>
          <w:szCs w:val="22"/>
        </w:rPr>
        <w:t>Spolufinancovanie</w:t>
      </w:r>
      <w:r w:rsidRPr="00D87540">
        <w:rPr>
          <w:rFonts w:ascii="Arial" w:hAnsi="Arial" w:cs="Arial"/>
          <w:sz w:val="22"/>
          <w:szCs w:val="22"/>
        </w:rPr>
        <w:t xml:space="preserve"> (zo strany EK) pri európskej územnej spolupráci </w:t>
      </w:r>
      <w:r w:rsidRPr="00D87540">
        <w:rPr>
          <w:rFonts w:ascii="Arial" w:hAnsi="Arial" w:cs="Arial"/>
          <w:b/>
          <w:bCs/>
          <w:sz w:val="22"/>
          <w:szCs w:val="22"/>
        </w:rPr>
        <w:t xml:space="preserve">nebude vyššie ako 75%. </w:t>
      </w:r>
      <w:r w:rsidRPr="00D87540">
        <w:rPr>
          <w:rFonts w:ascii="Arial" w:hAnsi="Arial" w:cs="Arial"/>
          <w:color w:val="000000"/>
          <w:sz w:val="22"/>
          <w:szCs w:val="22"/>
          <w:lang w:eastAsia="en-GB"/>
        </w:rPr>
        <w:t>Ešte stále sa vedú negociácie o uchovaní spolufinancovania 85%</w:t>
      </w:r>
      <w:r w:rsidR="0041061B">
        <w:rPr>
          <w:rFonts w:ascii="Arial" w:hAnsi="Arial" w:cs="Arial"/>
          <w:color w:val="000000"/>
          <w:sz w:val="22"/>
          <w:szCs w:val="22"/>
          <w:lang w:eastAsia="en-GB"/>
        </w:rPr>
        <w:t>,</w:t>
      </w:r>
      <w:r w:rsidRPr="00D87540">
        <w:rPr>
          <w:rFonts w:ascii="Arial" w:hAnsi="Arial" w:cs="Arial"/>
          <w:color w:val="000000"/>
          <w:sz w:val="22"/>
          <w:szCs w:val="22"/>
          <w:lang w:eastAsia="en-GB"/>
        </w:rPr>
        <w:t xml:space="preserve"> tak ako to bolo </w:t>
      </w:r>
      <w:r w:rsidR="0041061B">
        <w:rPr>
          <w:rFonts w:ascii="Arial" w:hAnsi="Arial" w:cs="Arial"/>
          <w:color w:val="000000"/>
          <w:sz w:val="22"/>
          <w:szCs w:val="22"/>
          <w:lang w:eastAsia="en-GB"/>
        </w:rPr>
        <w:t xml:space="preserve">v programovom období </w:t>
      </w:r>
      <w:r w:rsidRPr="00D87540">
        <w:rPr>
          <w:rFonts w:ascii="Arial" w:hAnsi="Arial" w:cs="Arial"/>
          <w:color w:val="000000"/>
          <w:sz w:val="22"/>
          <w:szCs w:val="22"/>
          <w:lang w:eastAsia="en-GB"/>
        </w:rPr>
        <w:t>2007-2013.</w:t>
      </w:r>
    </w:p>
    <w:p w:rsidR="00E84178" w:rsidRPr="00D87540" w:rsidRDefault="00E84178" w:rsidP="00E84178">
      <w:pPr>
        <w:jc w:val="both"/>
        <w:rPr>
          <w:rFonts w:ascii="Arial" w:hAnsi="Arial" w:cs="Arial"/>
          <w:b/>
          <w:bCs/>
          <w:sz w:val="22"/>
          <w:szCs w:val="22"/>
        </w:rPr>
      </w:pPr>
    </w:p>
    <w:p w:rsidR="00E84178" w:rsidRPr="00D87540" w:rsidRDefault="00E84178" w:rsidP="002B2F09">
      <w:pPr>
        <w:jc w:val="both"/>
        <w:rPr>
          <w:rFonts w:ascii="Arial" w:hAnsi="Arial" w:cs="Arial"/>
          <w:sz w:val="22"/>
          <w:szCs w:val="22"/>
        </w:rPr>
      </w:pPr>
      <w:r w:rsidRPr="00D87540">
        <w:rPr>
          <w:rFonts w:ascii="Arial" w:hAnsi="Arial" w:cs="Arial"/>
          <w:b/>
          <w:bCs/>
          <w:sz w:val="22"/>
          <w:szCs w:val="22"/>
        </w:rPr>
        <w:t>Z 11 tematický</w:t>
      </w:r>
      <w:r w:rsidR="0041061B">
        <w:rPr>
          <w:rFonts w:ascii="Arial" w:hAnsi="Arial" w:cs="Arial"/>
          <w:b/>
          <w:bCs/>
          <w:sz w:val="22"/>
          <w:szCs w:val="22"/>
        </w:rPr>
        <w:t>ch</w:t>
      </w:r>
      <w:r w:rsidRPr="00D87540">
        <w:rPr>
          <w:rFonts w:ascii="Arial" w:hAnsi="Arial" w:cs="Arial"/>
          <w:b/>
          <w:bCs/>
          <w:sz w:val="22"/>
          <w:szCs w:val="22"/>
        </w:rPr>
        <w:t xml:space="preserve"> úloh </w:t>
      </w:r>
      <w:r w:rsidRPr="002B2F09">
        <w:rPr>
          <w:rFonts w:ascii="Arial" w:hAnsi="Arial" w:cs="Arial"/>
          <w:bCs/>
          <w:sz w:val="22"/>
          <w:szCs w:val="22"/>
        </w:rPr>
        <w:t>navrhnutých EK sa p</w:t>
      </w:r>
      <w:r w:rsidR="002B2F09" w:rsidRPr="002B2F09">
        <w:rPr>
          <w:rFonts w:ascii="Arial" w:hAnsi="Arial" w:cs="Arial"/>
          <w:bCs/>
          <w:sz w:val="22"/>
          <w:szCs w:val="22"/>
        </w:rPr>
        <w:t>re</w:t>
      </w:r>
      <w:r w:rsidR="002B2F09">
        <w:rPr>
          <w:rFonts w:ascii="Arial" w:hAnsi="Arial" w:cs="Arial"/>
          <w:b/>
          <w:bCs/>
          <w:sz w:val="22"/>
          <w:szCs w:val="22"/>
        </w:rPr>
        <w:t xml:space="preserve"> (tematická koncentrácia ETS)</w:t>
      </w:r>
      <w:r w:rsidRPr="00D87540">
        <w:rPr>
          <w:rFonts w:ascii="Arial" w:hAnsi="Arial" w:cs="Arial"/>
          <w:sz w:val="22"/>
          <w:szCs w:val="22"/>
        </w:rPr>
        <w:t xml:space="preserve"> každý </w:t>
      </w:r>
      <w:r w:rsidRPr="002B2F09">
        <w:rPr>
          <w:rFonts w:ascii="Arial" w:hAnsi="Arial" w:cs="Arial"/>
          <w:sz w:val="22"/>
          <w:szCs w:val="22"/>
        </w:rPr>
        <w:t>program</w:t>
      </w:r>
      <w:r w:rsidR="0041061B">
        <w:rPr>
          <w:rFonts w:ascii="Arial" w:hAnsi="Arial" w:cs="Arial"/>
          <w:sz w:val="22"/>
          <w:szCs w:val="22"/>
        </w:rPr>
        <w:t xml:space="preserve"> cezhraničnej spolupráce</w:t>
      </w:r>
      <w:r w:rsidRPr="00D87540">
        <w:rPr>
          <w:rFonts w:ascii="Arial" w:hAnsi="Arial" w:cs="Arial"/>
          <w:sz w:val="22"/>
          <w:szCs w:val="22"/>
        </w:rPr>
        <w:t xml:space="preserve"> </w:t>
      </w:r>
      <w:r w:rsidRPr="002B2F09">
        <w:rPr>
          <w:rFonts w:ascii="Arial" w:hAnsi="Arial" w:cs="Arial"/>
          <w:b/>
          <w:sz w:val="22"/>
          <w:szCs w:val="22"/>
        </w:rPr>
        <w:t>vyberú</w:t>
      </w:r>
      <w:r w:rsidRPr="00D87540">
        <w:rPr>
          <w:rFonts w:ascii="Arial" w:hAnsi="Arial" w:cs="Arial"/>
          <w:sz w:val="22"/>
          <w:szCs w:val="22"/>
        </w:rPr>
        <w:t xml:space="preserve"> </w:t>
      </w:r>
      <w:r w:rsidRPr="002B2F09">
        <w:rPr>
          <w:rFonts w:ascii="Arial" w:hAnsi="Arial" w:cs="Arial"/>
          <w:b/>
          <w:sz w:val="22"/>
          <w:szCs w:val="22"/>
        </w:rPr>
        <w:t>najviac 4 + 1 tematické ciele</w:t>
      </w:r>
      <w:r w:rsidRPr="00D87540">
        <w:rPr>
          <w:rFonts w:ascii="Arial" w:hAnsi="Arial" w:cs="Arial"/>
          <w:sz w:val="22"/>
          <w:szCs w:val="22"/>
        </w:rPr>
        <w:t>;</w:t>
      </w:r>
    </w:p>
    <w:p w:rsidR="00804F73" w:rsidRPr="00D87540" w:rsidRDefault="00804F73" w:rsidP="00654EA0">
      <w:pPr>
        <w:autoSpaceDE w:val="0"/>
        <w:autoSpaceDN w:val="0"/>
        <w:jc w:val="both"/>
        <w:rPr>
          <w:rFonts w:ascii="Arial" w:hAnsi="Arial" w:cs="Arial"/>
          <w:sz w:val="22"/>
          <w:szCs w:val="22"/>
        </w:rPr>
      </w:pPr>
    </w:p>
    <w:p w:rsidR="0082058F" w:rsidRDefault="0082058F" w:rsidP="00654EA0">
      <w:pPr>
        <w:pStyle w:val="Odsekzoznamu"/>
        <w:autoSpaceDE w:val="0"/>
        <w:autoSpaceDN w:val="0"/>
        <w:ind w:left="0"/>
        <w:jc w:val="both"/>
        <w:rPr>
          <w:rFonts w:ascii="Arial" w:hAnsi="Arial" w:cs="Arial"/>
          <w:b/>
          <w:bCs/>
          <w:sz w:val="22"/>
          <w:szCs w:val="22"/>
        </w:rPr>
      </w:pPr>
      <w:r w:rsidRPr="008909F9">
        <w:rPr>
          <w:rFonts w:ascii="Arial" w:hAnsi="Arial" w:cs="Arial"/>
          <w:b/>
          <w:bCs/>
          <w:sz w:val="22"/>
          <w:szCs w:val="22"/>
        </w:rPr>
        <w:t xml:space="preserve">Cezhraničná spolupráca SK </w:t>
      </w:r>
      <w:r w:rsidR="006F02D9">
        <w:rPr>
          <w:rFonts w:ascii="Arial" w:hAnsi="Arial" w:cs="Arial"/>
          <w:b/>
          <w:bCs/>
          <w:sz w:val="22"/>
          <w:szCs w:val="22"/>
        </w:rPr>
        <w:t>–</w:t>
      </w:r>
      <w:r w:rsidRPr="008909F9">
        <w:rPr>
          <w:rFonts w:ascii="Arial" w:hAnsi="Arial" w:cs="Arial"/>
          <w:b/>
          <w:bCs/>
          <w:sz w:val="22"/>
          <w:szCs w:val="22"/>
        </w:rPr>
        <w:t xml:space="preserve"> AT</w:t>
      </w:r>
      <w:r w:rsidR="008C6106">
        <w:rPr>
          <w:rFonts w:ascii="Arial" w:hAnsi="Arial" w:cs="Arial"/>
          <w:b/>
          <w:bCs/>
          <w:sz w:val="22"/>
          <w:szCs w:val="22"/>
        </w:rPr>
        <w:t xml:space="preserve"> / SK-HU</w:t>
      </w:r>
    </w:p>
    <w:p w:rsidR="006F02D9" w:rsidRPr="008909F9" w:rsidRDefault="006F02D9" w:rsidP="00654EA0">
      <w:pPr>
        <w:pStyle w:val="Odsekzoznamu"/>
        <w:autoSpaceDE w:val="0"/>
        <w:autoSpaceDN w:val="0"/>
        <w:ind w:left="0"/>
        <w:jc w:val="both"/>
        <w:rPr>
          <w:rFonts w:ascii="Arial" w:hAnsi="Arial" w:cs="Arial"/>
          <w:b/>
          <w:bCs/>
          <w:sz w:val="22"/>
          <w:szCs w:val="22"/>
        </w:rPr>
      </w:pPr>
    </w:p>
    <w:p w:rsidR="0082058F" w:rsidRPr="008909F9" w:rsidRDefault="0082058F" w:rsidP="00654EA0">
      <w:pPr>
        <w:jc w:val="both"/>
        <w:rPr>
          <w:rFonts w:ascii="Arial" w:hAnsi="Arial" w:cs="Arial"/>
          <w:sz w:val="22"/>
          <w:szCs w:val="22"/>
        </w:rPr>
      </w:pPr>
      <w:r w:rsidRPr="008909F9">
        <w:rPr>
          <w:rFonts w:ascii="Arial" w:hAnsi="Arial" w:cs="Arial"/>
          <w:b/>
          <w:sz w:val="22"/>
          <w:szCs w:val="22"/>
        </w:rPr>
        <w:t>Bratislavský samosprávny kraj s ohľadom na svoje priority, súčasné aktivity a zámery v budúcom programovom období presadzuje výber nasledujúcich tematických cieľov</w:t>
      </w:r>
      <w:r w:rsidRPr="008909F9">
        <w:rPr>
          <w:rFonts w:ascii="Arial" w:hAnsi="Arial" w:cs="Arial"/>
          <w:sz w:val="22"/>
          <w:szCs w:val="22"/>
        </w:rPr>
        <w:t>:</w:t>
      </w:r>
    </w:p>
    <w:p w:rsidR="008C6106" w:rsidRPr="008C6106" w:rsidRDefault="008C6106" w:rsidP="008C6106">
      <w:pPr>
        <w:pStyle w:val="Odsekzoznamu"/>
        <w:numPr>
          <w:ilvl w:val="0"/>
          <w:numId w:val="27"/>
        </w:numPr>
        <w:jc w:val="both"/>
        <w:rPr>
          <w:rFonts w:ascii="Arial" w:hAnsi="Arial" w:cs="Arial"/>
          <w:sz w:val="22"/>
          <w:szCs w:val="22"/>
        </w:rPr>
      </w:pPr>
      <w:r w:rsidRPr="008C6106">
        <w:rPr>
          <w:rFonts w:ascii="Arial" w:hAnsi="Arial" w:cs="Arial"/>
          <w:sz w:val="22"/>
          <w:szCs w:val="22"/>
        </w:rPr>
        <w:t>č. 1</w:t>
      </w:r>
      <w:r w:rsidR="0041061B">
        <w:rPr>
          <w:rFonts w:ascii="Arial" w:hAnsi="Arial" w:cs="Arial"/>
          <w:sz w:val="22"/>
          <w:szCs w:val="22"/>
        </w:rPr>
        <w:t>.</w:t>
      </w:r>
      <w:r w:rsidRPr="008C6106">
        <w:rPr>
          <w:rFonts w:ascii="Arial" w:hAnsi="Arial" w:cs="Arial"/>
          <w:sz w:val="22"/>
          <w:szCs w:val="22"/>
        </w:rPr>
        <w:t xml:space="preserve">  Posilnenie výskumu, technologického rozvoja a inovácií;</w:t>
      </w:r>
    </w:p>
    <w:p w:rsidR="00654EA0" w:rsidRPr="008C6106" w:rsidRDefault="00654EA0" w:rsidP="008C6106">
      <w:pPr>
        <w:pStyle w:val="Odsekzoznamu"/>
        <w:numPr>
          <w:ilvl w:val="0"/>
          <w:numId w:val="27"/>
        </w:numPr>
        <w:jc w:val="both"/>
        <w:rPr>
          <w:rFonts w:ascii="Arial" w:hAnsi="Arial" w:cs="Arial"/>
          <w:sz w:val="22"/>
          <w:szCs w:val="22"/>
        </w:rPr>
      </w:pPr>
      <w:r w:rsidRPr="008C6106">
        <w:rPr>
          <w:rFonts w:ascii="Arial" w:hAnsi="Arial" w:cs="Arial"/>
          <w:sz w:val="22"/>
          <w:szCs w:val="22"/>
        </w:rPr>
        <w:t xml:space="preserve">č. 6. </w:t>
      </w:r>
      <w:r w:rsidR="0082058F" w:rsidRPr="008C6106">
        <w:rPr>
          <w:rFonts w:ascii="Arial" w:hAnsi="Arial" w:cs="Arial"/>
          <w:sz w:val="22"/>
          <w:szCs w:val="22"/>
        </w:rPr>
        <w:t>Ochrana životného prostredia a podpora efektívneho využívania zdrojov;</w:t>
      </w:r>
    </w:p>
    <w:p w:rsidR="008C6106" w:rsidRPr="008C6106" w:rsidRDefault="00654EA0" w:rsidP="008C6106">
      <w:pPr>
        <w:pStyle w:val="Odsekzoznamu"/>
        <w:numPr>
          <w:ilvl w:val="0"/>
          <w:numId w:val="27"/>
        </w:numPr>
        <w:jc w:val="both"/>
        <w:rPr>
          <w:rFonts w:ascii="Arial" w:hAnsi="Arial" w:cs="Arial"/>
          <w:sz w:val="22"/>
          <w:szCs w:val="22"/>
        </w:rPr>
      </w:pPr>
      <w:r w:rsidRPr="008C6106">
        <w:rPr>
          <w:rFonts w:ascii="Arial" w:hAnsi="Arial" w:cs="Arial"/>
          <w:sz w:val="22"/>
          <w:szCs w:val="22"/>
        </w:rPr>
        <w:t>č.</w:t>
      </w:r>
      <w:r w:rsidR="0041061B">
        <w:rPr>
          <w:rFonts w:ascii="Arial" w:hAnsi="Arial" w:cs="Arial"/>
          <w:sz w:val="22"/>
          <w:szCs w:val="22"/>
        </w:rPr>
        <w:t xml:space="preserve"> </w:t>
      </w:r>
      <w:r w:rsidR="008C6106">
        <w:rPr>
          <w:rFonts w:ascii="Arial" w:hAnsi="Arial" w:cs="Arial"/>
          <w:sz w:val="22"/>
          <w:szCs w:val="22"/>
        </w:rPr>
        <w:t>7</w:t>
      </w:r>
      <w:r w:rsidR="0041061B">
        <w:rPr>
          <w:rFonts w:ascii="Arial" w:hAnsi="Arial" w:cs="Arial"/>
          <w:sz w:val="22"/>
          <w:szCs w:val="22"/>
        </w:rPr>
        <w:t>.</w:t>
      </w:r>
      <w:r w:rsidRPr="008C6106">
        <w:rPr>
          <w:rFonts w:ascii="Arial" w:hAnsi="Arial" w:cs="Arial"/>
          <w:sz w:val="22"/>
          <w:szCs w:val="22"/>
        </w:rPr>
        <w:t xml:space="preserve"> </w:t>
      </w:r>
      <w:r w:rsidR="0082058F" w:rsidRPr="008C6106">
        <w:rPr>
          <w:rFonts w:ascii="Arial" w:hAnsi="Arial" w:cs="Arial"/>
          <w:sz w:val="22"/>
          <w:szCs w:val="22"/>
        </w:rPr>
        <w:t>Podpora trvalo udržateľnej dopravy a odstraňovanie prekážok v kľúčových dopravných sieťach;</w:t>
      </w:r>
      <w:r w:rsidR="008C6106" w:rsidRPr="008C6106">
        <w:rPr>
          <w:rFonts w:ascii="Arial" w:hAnsi="Arial" w:cs="Arial"/>
          <w:sz w:val="22"/>
          <w:szCs w:val="22"/>
        </w:rPr>
        <w:t xml:space="preserve"> </w:t>
      </w:r>
    </w:p>
    <w:p w:rsidR="0082058F" w:rsidRPr="008C6106" w:rsidRDefault="00654EA0" w:rsidP="008C6106">
      <w:pPr>
        <w:pStyle w:val="Odsekzoznamu"/>
        <w:numPr>
          <w:ilvl w:val="0"/>
          <w:numId w:val="27"/>
        </w:numPr>
        <w:jc w:val="both"/>
        <w:rPr>
          <w:rFonts w:ascii="Arial" w:hAnsi="Arial" w:cs="Arial"/>
          <w:sz w:val="22"/>
          <w:szCs w:val="22"/>
        </w:rPr>
      </w:pPr>
      <w:r w:rsidRPr="008C6106">
        <w:rPr>
          <w:rFonts w:ascii="Arial" w:hAnsi="Arial" w:cs="Arial"/>
          <w:sz w:val="22"/>
          <w:szCs w:val="22"/>
        </w:rPr>
        <w:t xml:space="preserve">č. 10. </w:t>
      </w:r>
      <w:r w:rsidR="0082058F" w:rsidRPr="008C6106">
        <w:rPr>
          <w:rFonts w:ascii="Arial" w:hAnsi="Arial" w:cs="Arial"/>
          <w:sz w:val="22"/>
          <w:szCs w:val="22"/>
        </w:rPr>
        <w:t>Investície do vzdelávania, schopností a celoživotného vzdelávania;</w:t>
      </w:r>
    </w:p>
    <w:p w:rsidR="0082058F" w:rsidRPr="008C6106" w:rsidRDefault="00654EA0" w:rsidP="008C6106">
      <w:pPr>
        <w:pStyle w:val="Odsekzoznamu"/>
        <w:numPr>
          <w:ilvl w:val="0"/>
          <w:numId w:val="27"/>
        </w:numPr>
        <w:jc w:val="both"/>
        <w:rPr>
          <w:rFonts w:ascii="Arial" w:hAnsi="Arial" w:cs="Arial"/>
          <w:sz w:val="22"/>
          <w:szCs w:val="22"/>
        </w:rPr>
      </w:pPr>
      <w:r w:rsidRPr="008C6106">
        <w:rPr>
          <w:rFonts w:ascii="Arial" w:hAnsi="Arial" w:cs="Arial"/>
          <w:sz w:val="22"/>
          <w:szCs w:val="22"/>
        </w:rPr>
        <w:t xml:space="preserve">č. 11. </w:t>
      </w:r>
      <w:r w:rsidR="0082058F" w:rsidRPr="008C6106">
        <w:rPr>
          <w:rFonts w:ascii="Arial" w:hAnsi="Arial" w:cs="Arial"/>
          <w:sz w:val="22"/>
          <w:szCs w:val="22"/>
        </w:rPr>
        <w:t>Podporovanie inštitucionálnych kapacít a efektívnej verejnej správy;</w:t>
      </w:r>
    </w:p>
    <w:p w:rsidR="00D87540" w:rsidRPr="008909F9" w:rsidRDefault="00D87540" w:rsidP="00654EA0">
      <w:pPr>
        <w:jc w:val="both"/>
        <w:rPr>
          <w:rFonts w:ascii="Arial" w:hAnsi="Arial" w:cs="Arial"/>
          <w:b/>
          <w:sz w:val="22"/>
          <w:szCs w:val="22"/>
        </w:rPr>
      </w:pPr>
    </w:p>
    <w:p w:rsidR="00A4438A" w:rsidRPr="00A4438A" w:rsidRDefault="00A4438A" w:rsidP="00654EA0">
      <w:pPr>
        <w:contextualSpacing/>
        <w:jc w:val="both"/>
        <w:rPr>
          <w:rFonts w:ascii="Arial" w:hAnsi="Arial" w:cs="Arial"/>
          <w:b/>
          <w:sz w:val="22"/>
          <w:szCs w:val="22"/>
        </w:rPr>
      </w:pPr>
      <w:r w:rsidRPr="00A4438A">
        <w:rPr>
          <w:rFonts w:ascii="Arial" w:hAnsi="Arial" w:cs="Arial"/>
          <w:b/>
          <w:sz w:val="22"/>
          <w:szCs w:val="22"/>
        </w:rPr>
        <w:t>Cezhraničná spolupráca SK - CZ</w:t>
      </w:r>
    </w:p>
    <w:p w:rsidR="00A4438A" w:rsidRPr="00A4438A" w:rsidRDefault="00A4438A" w:rsidP="00654EA0">
      <w:pPr>
        <w:contextualSpacing/>
        <w:jc w:val="both"/>
        <w:rPr>
          <w:rFonts w:ascii="Arial" w:hAnsi="Arial" w:cs="Arial"/>
          <w:b/>
          <w:sz w:val="22"/>
          <w:szCs w:val="22"/>
        </w:rPr>
      </w:pPr>
    </w:p>
    <w:p w:rsidR="00A4438A" w:rsidRPr="00A4438A" w:rsidRDefault="00A4438A" w:rsidP="00654EA0">
      <w:pPr>
        <w:contextualSpacing/>
        <w:jc w:val="both"/>
        <w:rPr>
          <w:rFonts w:ascii="Arial" w:hAnsi="Arial" w:cs="Arial"/>
          <w:b/>
          <w:sz w:val="22"/>
          <w:szCs w:val="22"/>
        </w:rPr>
      </w:pPr>
      <w:r w:rsidRPr="00A4438A">
        <w:rPr>
          <w:rFonts w:ascii="Arial" w:hAnsi="Arial" w:cs="Arial"/>
          <w:b/>
          <w:sz w:val="22"/>
          <w:szCs w:val="22"/>
        </w:rPr>
        <w:t xml:space="preserve">V súvislosti s prípravou nového programového obdobia EÚ 2014-2020 v kontexte kohéznej politiky EÚ a cezhraničnej spolupráce má Bratislavský samosprávny kraj záujem participovať ako pridružený región v rámci budúceho Programu cezhraničnej spolupráce Slovenská republika – Česká republika. </w:t>
      </w:r>
    </w:p>
    <w:p w:rsidR="008C6106" w:rsidRDefault="008C6106" w:rsidP="008C6106">
      <w:pPr>
        <w:jc w:val="both"/>
        <w:rPr>
          <w:rFonts w:ascii="Arial" w:hAnsi="Arial" w:cs="Arial"/>
          <w:b/>
          <w:sz w:val="22"/>
          <w:szCs w:val="22"/>
        </w:rPr>
      </w:pPr>
    </w:p>
    <w:p w:rsidR="008C6106" w:rsidRPr="008909F9" w:rsidRDefault="008C6106" w:rsidP="008C6106">
      <w:pPr>
        <w:jc w:val="both"/>
        <w:rPr>
          <w:rFonts w:ascii="Arial" w:hAnsi="Arial" w:cs="Arial"/>
          <w:sz w:val="22"/>
          <w:szCs w:val="22"/>
        </w:rPr>
      </w:pPr>
      <w:r>
        <w:rPr>
          <w:rFonts w:ascii="Arial" w:hAnsi="Arial" w:cs="Arial"/>
          <w:b/>
          <w:sz w:val="22"/>
          <w:szCs w:val="22"/>
        </w:rPr>
        <w:t>BSK</w:t>
      </w:r>
      <w:r w:rsidRPr="008909F9">
        <w:rPr>
          <w:rFonts w:ascii="Arial" w:hAnsi="Arial" w:cs="Arial"/>
          <w:b/>
          <w:sz w:val="22"/>
          <w:szCs w:val="22"/>
        </w:rPr>
        <w:t xml:space="preserve"> s ohľadom na svoje priority, súčasné aktivity a zámery v budúcom programovom období presadzuje výber nasledujúcich tematických cieľov</w:t>
      </w:r>
      <w:r w:rsidRPr="008909F9">
        <w:rPr>
          <w:rFonts w:ascii="Arial" w:hAnsi="Arial" w:cs="Arial"/>
          <w:sz w:val="22"/>
          <w:szCs w:val="22"/>
        </w:rPr>
        <w:t>:</w:t>
      </w:r>
    </w:p>
    <w:p w:rsidR="008C6106" w:rsidRPr="008C6106" w:rsidRDefault="008C6106" w:rsidP="008C6106">
      <w:pPr>
        <w:pStyle w:val="Odsekzoznamu"/>
        <w:numPr>
          <w:ilvl w:val="0"/>
          <w:numId w:val="27"/>
        </w:numPr>
        <w:jc w:val="both"/>
        <w:rPr>
          <w:rFonts w:ascii="Arial" w:hAnsi="Arial" w:cs="Arial"/>
          <w:sz w:val="22"/>
          <w:szCs w:val="22"/>
        </w:rPr>
      </w:pPr>
      <w:r w:rsidRPr="008C6106">
        <w:rPr>
          <w:rFonts w:ascii="Arial" w:hAnsi="Arial" w:cs="Arial"/>
          <w:sz w:val="22"/>
          <w:szCs w:val="22"/>
        </w:rPr>
        <w:t>č. 1  Posilnenie výskumu, technologického rozvoja a inovácií;</w:t>
      </w:r>
    </w:p>
    <w:p w:rsidR="008C6106" w:rsidRPr="008C6106" w:rsidRDefault="008C6106" w:rsidP="008C6106">
      <w:pPr>
        <w:pStyle w:val="Odsekzoznamu"/>
        <w:numPr>
          <w:ilvl w:val="0"/>
          <w:numId w:val="27"/>
        </w:numPr>
        <w:jc w:val="both"/>
        <w:rPr>
          <w:rFonts w:ascii="Arial" w:hAnsi="Arial" w:cs="Arial"/>
          <w:sz w:val="22"/>
          <w:szCs w:val="22"/>
        </w:rPr>
      </w:pPr>
      <w:r w:rsidRPr="008C6106">
        <w:rPr>
          <w:rFonts w:ascii="Arial" w:hAnsi="Arial" w:cs="Arial"/>
          <w:sz w:val="22"/>
          <w:szCs w:val="22"/>
        </w:rPr>
        <w:t>č. 6. Ochrana životného prostredia a podpora efektívneho využívania zdrojov;</w:t>
      </w:r>
    </w:p>
    <w:p w:rsidR="008C6106" w:rsidRPr="008C6106" w:rsidRDefault="008C6106" w:rsidP="008C6106">
      <w:pPr>
        <w:pStyle w:val="Odsekzoznamu"/>
        <w:numPr>
          <w:ilvl w:val="0"/>
          <w:numId w:val="27"/>
        </w:numPr>
        <w:jc w:val="both"/>
        <w:rPr>
          <w:rFonts w:ascii="Arial" w:hAnsi="Arial" w:cs="Arial"/>
          <w:sz w:val="22"/>
          <w:szCs w:val="22"/>
        </w:rPr>
      </w:pPr>
      <w:r w:rsidRPr="008C6106">
        <w:rPr>
          <w:rFonts w:ascii="Arial" w:hAnsi="Arial" w:cs="Arial"/>
          <w:sz w:val="22"/>
          <w:szCs w:val="22"/>
        </w:rPr>
        <w:t>č.</w:t>
      </w:r>
      <w:r>
        <w:rPr>
          <w:rFonts w:ascii="Arial" w:hAnsi="Arial" w:cs="Arial"/>
          <w:sz w:val="22"/>
          <w:szCs w:val="22"/>
        </w:rPr>
        <w:t xml:space="preserve"> 7</w:t>
      </w:r>
      <w:r w:rsidRPr="008C6106">
        <w:rPr>
          <w:rFonts w:ascii="Arial" w:hAnsi="Arial" w:cs="Arial"/>
          <w:sz w:val="22"/>
          <w:szCs w:val="22"/>
        </w:rPr>
        <w:t xml:space="preserve"> Podpora trvalo udržateľnej dopravy a odstraňovanie prekážok v kľúčových dopravných sieťach; </w:t>
      </w:r>
    </w:p>
    <w:p w:rsidR="008C6106" w:rsidRPr="008C6106" w:rsidRDefault="008C6106" w:rsidP="008C6106">
      <w:pPr>
        <w:pStyle w:val="Odsekzoznamu"/>
        <w:numPr>
          <w:ilvl w:val="0"/>
          <w:numId w:val="27"/>
        </w:numPr>
        <w:jc w:val="both"/>
        <w:rPr>
          <w:rFonts w:ascii="Arial" w:hAnsi="Arial" w:cs="Arial"/>
          <w:sz w:val="22"/>
          <w:szCs w:val="22"/>
        </w:rPr>
      </w:pPr>
      <w:r w:rsidRPr="008C6106">
        <w:rPr>
          <w:rFonts w:ascii="Arial" w:hAnsi="Arial" w:cs="Arial"/>
          <w:sz w:val="22"/>
          <w:szCs w:val="22"/>
        </w:rPr>
        <w:t>č. 10. Investície do vzdelávania, schopností a celoživotného vzdelávania;</w:t>
      </w:r>
    </w:p>
    <w:p w:rsidR="008C6106" w:rsidRPr="008C6106" w:rsidRDefault="008C6106" w:rsidP="008C6106">
      <w:pPr>
        <w:pStyle w:val="Odsekzoznamu"/>
        <w:numPr>
          <w:ilvl w:val="0"/>
          <w:numId w:val="27"/>
        </w:numPr>
        <w:jc w:val="both"/>
        <w:rPr>
          <w:rFonts w:ascii="Arial" w:hAnsi="Arial" w:cs="Arial"/>
          <w:sz w:val="22"/>
          <w:szCs w:val="22"/>
        </w:rPr>
      </w:pPr>
      <w:r w:rsidRPr="008C6106">
        <w:rPr>
          <w:rFonts w:ascii="Arial" w:hAnsi="Arial" w:cs="Arial"/>
          <w:sz w:val="22"/>
          <w:szCs w:val="22"/>
        </w:rPr>
        <w:t>č. 11. Podporovanie inštitucionálnych kapacít a efektívnej verejnej správy;</w:t>
      </w:r>
    </w:p>
    <w:p w:rsidR="004447BF" w:rsidRDefault="004447BF" w:rsidP="00654EA0">
      <w:pPr>
        <w:contextualSpacing/>
        <w:jc w:val="both"/>
        <w:rPr>
          <w:rFonts w:ascii="Arial" w:hAnsi="Arial" w:cs="Arial"/>
          <w:sz w:val="22"/>
          <w:szCs w:val="22"/>
        </w:rPr>
      </w:pPr>
    </w:p>
    <w:p w:rsidR="004447BF" w:rsidRPr="004447BF" w:rsidRDefault="000037E2" w:rsidP="004447BF">
      <w:pPr>
        <w:autoSpaceDE w:val="0"/>
        <w:autoSpaceDN w:val="0"/>
        <w:adjustRightInd w:val="0"/>
        <w:contextualSpacing/>
        <w:jc w:val="both"/>
        <w:rPr>
          <w:rFonts w:ascii="Arial" w:hAnsi="Arial" w:cs="Arial"/>
          <w:sz w:val="22"/>
          <w:szCs w:val="22"/>
        </w:rPr>
      </w:pPr>
      <w:r>
        <w:rPr>
          <w:rFonts w:ascii="Arial" w:hAnsi="Arial" w:cs="Arial"/>
          <w:sz w:val="22"/>
          <w:szCs w:val="22"/>
        </w:rPr>
        <w:t>V prípade, že bude prijatí návrh</w:t>
      </w:r>
      <w:r w:rsidR="004447BF" w:rsidRPr="004447BF">
        <w:rPr>
          <w:rFonts w:ascii="Arial" w:hAnsi="Arial" w:cs="Arial"/>
          <w:sz w:val="22"/>
          <w:szCs w:val="22"/>
        </w:rPr>
        <w:t xml:space="preserve"> Nariadenia o európskej územnej spolu</w:t>
      </w:r>
      <w:r>
        <w:rPr>
          <w:rFonts w:ascii="Arial" w:hAnsi="Arial" w:cs="Arial"/>
          <w:sz w:val="22"/>
          <w:szCs w:val="22"/>
        </w:rPr>
        <w:t>práci</w:t>
      </w:r>
      <w:r w:rsidR="0035350D">
        <w:rPr>
          <w:rFonts w:ascii="Arial" w:hAnsi="Arial" w:cs="Arial"/>
          <w:sz w:val="22"/>
          <w:szCs w:val="22"/>
        </w:rPr>
        <w:t xml:space="preserve"> môže Riadiaci orgán  uznať</w:t>
      </w:r>
      <w:r w:rsidR="004447BF" w:rsidRPr="004447BF">
        <w:rPr>
          <w:rFonts w:ascii="Arial" w:hAnsi="Arial" w:cs="Arial"/>
          <w:sz w:val="22"/>
          <w:szCs w:val="22"/>
        </w:rPr>
        <w:t xml:space="preserve">, že celá operácia alebo jej časť sa vykonáva </w:t>
      </w:r>
      <w:r w:rsidR="004447BF" w:rsidRPr="004447BF">
        <w:rPr>
          <w:rFonts w:ascii="Arial" w:hAnsi="Arial" w:cs="Arial"/>
          <w:b/>
          <w:sz w:val="22"/>
          <w:szCs w:val="22"/>
        </w:rPr>
        <w:t>mimo časti programovej oblasti</w:t>
      </w:r>
      <w:r w:rsidR="004447BF" w:rsidRPr="004447BF">
        <w:rPr>
          <w:rFonts w:ascii="Arial" w:hAnsi="Arial" w:cs="Arial"/>
          <w:sz w:val="22"/>
          <w:szCs w:val="22"/>
        </w:rPr>
        <w:t xml:space="preserve"> na území Únie za predpokladu, že sú splnené tieto podmienky:</w:t>
      </w:r>
    </w:p>
    <w:p w:rsidR="004447BF" w:rsidRPr="004447BF" w:rsidRDefault="004447BF" w:rsidP="004447BF">
      <w:pPr>
        <w:pStyle w:val="Odsekzoznamu"/>
        <w:numPr>
          <w:ilvl w:val="0"/>
          <w:numId w:val="9"/>
        </w:numPr>
        <w:autoSpaceDE w:val="0"/>
        <w:autoSpaceDN w:val="0"/>
        <w:adjustRightInd w:val="0"/>
        <w:spacing w:after="200"/>
        <w:jc w:val="both"/>
        <w:rPr>
          <w:rFonts w:ascii="Arial" w:hAnsi="Arial" w:cs="Arial"/>
          <w:sz w:val="22"/>
          <w:szCs w:val="22"/>
        </w:rPr>
      </w:pPr>
      <w:r w:rsidRPr="004447BF">
        <w:rPr>
          <w:rFonts w:ascii="Arial" w:hAnsi="Arial" w:cs="Arial"/>
          <w:sz w:val="22"/>
          <w:szCs w:val="22"/>
        </w:rPr>
        <w:t>operácia je na prospech celej programovej oblasti;</w:t>
      </w:r>
    </w:p>
    <w:p w:rsidR="004447BF" w:rsidRPr="004447BF" w:rsidRDefault="004447BF" w:rsidP="004447BF">
      <w:pPr>
        <w:pStyle w:val="Odsekzoznamu"/>
        <w:numPr>
          <w:ilvl w:val="0"/>
          <w:numId w:val="9"/>
        </w:numPr>
        <w:autoSpaceDE w:val="0"/>
        <w:autoSpaceDN w:val="0"/>
        <w:adjustRightInd w:val="0"/>
        <w:spacing w:after="200"/>
        <w:jc w:val="both"/>
        <w:rPr>
          <w:rFonts w:ascii="Arial" w:hAnsi="Arial" w:cs="Arial"/>
          <w:sz w:val="22"/>
          <w:szCs w:val="22"/>
        </w:rPr>
      </w:pPr>
      <w:r w:rsidRPr="004447BF">
        <w:rPr>
          <w:rFonts w:ascii="Arial" w:hAnsi="Arial" w:cs="Arial"/>
          <w:sz w:val="22"/>
          <w:szCs w:val="22"/>
        </w:rPr>
        <w:t>celková suma pridelená v rámci programu spolupráce na</w:t>
      </w:r>
      <w:r w:rsidR="0041061B">
        <w:rPr>
          <w:rFonts w:ascii="Arial" w:hAnsi="Arial" w:cs="Arial"/>
          <w:sz w:val="22"/>
          <w:szCs w:val="22"/>
        </w:rPr>
        <w:t xml:space="preserve"> operácie vykonávané mimo časti</w:t>
      </w:r>
      <w:r w:rsidRPr="004447BF">
        <w:rPr>
          <w:rFonts w:ascii="Arial" w:hAnsi="Arial" w:cs="Arial"/>
          <w:sz w:val="22"/>
          <w:szCs w:val="22"/>
        </w:rPr>
        <w:t xml:space="preserve"> programovej oblasti na území Únie nepresiahne </w:t>
      </w:r>
      <w:r w:rsidRPr="004447BF">
        <w:rPr>
          <w:rFonts w:ascii="Arial" w:hAnsi="Arial" w:cs="Arial"/>
          <w:b/>
          <w:sz w:val="22"/>
          <w:szCs w:val="22"/>
        </w:rPr>
        <w:t>20 %</w:t>
      </w:r>
      <w:r w:rsidRPr="004447BF">
        <w:rPr>
          <w:rFonts w:ascii="Arial" w:hAnsi="Arial" w:cs="Arial"/>
          <w:sz w:val="22"/>
          <w:szCs w:val="22"/>
        </w:rPr>
        <w:t xml:space="preserve"> pomoci z Európskeho fondu regionálneho rozvoja na úrovni programu.</w:t>
      </w:r>
    </w:p>
    <w:p w:rsidR="004447BF" w:rsidRPr="004447BF" w:rsidRDefault="000037E2" w:rsidP="004447BF">
      <w:pPr>
        <w:autoSpaceDE w:val="0"/>
        <w:autoSpaceDN w:val="0"/>
        <w:adjustRightInd w:val="0"/>
        <w:contextualSpacing/>
        <w:jc w:val="both"/>
        <w:rPr>
          <w:rFonts w:ascii="Arial" w:hAnsi="Arial" w:cs="Arial"/>
          <w:sz w:val="22"/>
          <w:szCs w:val="22"/>
        </w:rPr>
      </w:pPr>
      <w:r>
        <w:rPr>
          <w:rFonts w:ascii="Arial" w:hAnsi="Arial" w:cs="Arial"/>
          <w:sz w:val="22"/>
          <w:szCs w:val="22"/>
        </w:rPr>
        <w:t xml:space="preserve">BSK vidí prínos takéhoto pridruženia v rámci cezhraničného programu SK – CZ, z hľadiska </w:t>
      </w:r>
      <w:r w:rsidR="004447BF" w:rsidRPr="004447BF">
        <w:rPr>
          <w:rFonts w:ascii="Arial" w:hAnsi="Arial" w:cs="Arial"/>
          <w:sz w:val="22"/>
          <w:szCs w:val="22"/>
        </w:rPr>
        <w:t>blízkosti polohy Bratislavského samosprávneho kraja k spoločnej hranici</w:t>
      </w:r>
      <w:r>
        <w:rPr>
          <w:rFonts w:ascii="Arial" w:hAnsi="Arial" w:cs="Arial"/>
          <w:sz w:val="22"/>
          <w:szCs w:val="22"/>
        </w:rPr>
        <w:t xml:space="preserve"> Slovenskej a Českej republiky. </w:t>
      </w:r>
      <w:r w:rsidR="004447BF" w:rsidRPr="004447BF">
        <w:rPr>
          <w:rFonts w:ascii="Arial" w:hAnsi="Arial" w:cs="Arial"/>
          <w:sz w:val="22"/>
          <w:szCs w:val="22"/>
        </w:rPr>
        <w:t xml:space="preserve">Bratislavský samosprávny kraj ma navyše nadviazanú zmluvnú spoluprácu </w:t>
      </w:r>
      <w:r w:rsidR="004447BF" w:rsidRPr="004447BF">
        <w:rPr>
          <w:rFonts w:ascii="Arial" w:hAnsi="Arial" w:cs="Arial"/>
          <w:sz w:val="22"/>
          <w:szCs w:val="22"/>
        </w:rPr>
        <w:lastRenderedPageBreak/>
        <w:t xml:space="preserve">s Juhomoravským krajom a rovnako intenzívne spolupracuje aj s Trnavským samosprávnym krajom, mestom Brno, a to nielen v rámci spoločných priorít a aktivít regiónu Centrope. </w:t>
      </w:r>
    </w:p>
    <w:p w:rsidR="004447BF" w:rsidRPr="004447BF" w:rsidRDefault="004447BF" w:rsidP="004447BF">
      <w:pPr>
        <w:autoSpaceDE w:val="0"/>
        <w:autoSpaceDN w:val="0"/>
        <w:adjustRightInd w:val="0"/>
        <w:contextualSpacing/>
        <w:jc w:val="both"/>
        <w:rPr>
          <w:rFonts w:ascii="Arial" w:hAnsi="Arial" w:cs="Arial"/>
          <w:sz w:val="22"/>
          <w:szCs w:val="22"/>
        </w:rPr>
      </w:pPr>
    </w:p>
    <w:p w:rsidR="004447BF" w:rsidRPr="004447BF" w:rsidRDefault="004447BF" w:rsidP="004447BF">
      <w:pPr>
        <w:autoSpaceDE w:val="0"/>
        <w:autoSpaceDN w:val="0"/>
        <w:adjustRightInd w:val="0"/>
        <w:contextualSpacing/>
        <w:jc w:val="both"/>
        <w:rPr>
          <w:rFonts w:ascii="Arial" w:hAnsi="Arial" w:cs="Arial"/>
          <w:sz w:val="22"/>
          <w:szCs w:val="22"/>
        </w:rPr>
      </w:pPr>
      <w:r w:rsidRPr="004447BF">
        <w:rPr>
          <w:rFonts w:ascii="Arial" w:hAnsi="Arial" w:cs="Arial"/>
          <w:sz w:val="22"/>
          <w:szCs w:val="22"/>
        </w:rPr>
        <w:t>Takéto pridruženie by zároveň zabránilo podávaniu duplicitných projektov a implementovaniu aktivít v rámci programov cezhraničnej spolupráce Slovenskej republiky s Rakúskou, Českou a Maďarskou republikou.</w:t>
      </w:r>
    </w:p>
    <w:p w:rsidR="004447BF" w:rsidRPr="004447BF" w:rsidRDefault="004447BF" w:rsidP="004447BF">
      <w:pPr>
        <w:autoSpaceDE w:val="0"/>
        <w:autoSpaceDN w:val="0"/>
        <w:adjustRightInd w:val="0"/>
        <w:contextualSpacing/>
        <w:jc w:val="both"/>
        <w:rPr>
          <w:rFonts w:ascii="Arial" w:hAnsi="Arial" w:cs="Arial"/>
          <w:sz w:val="22"/>
          <w:szCs w:val="22"/>
        </w:rPr>
      </w:pPr>
    </w:p>
    <w:p w:rsidR="004447BF" w:rsidRPr="00A4438A" w:rsidRDefault="004447BF" w:rsidP="004447BF">
      <w:pPr>
        <w:autoSpaceDE w:val="0"/>
        <w:autoSpaceDN w:val="0"/>
        <w:adjustRightInd w:val="0"/>
        <w:jc w:val="both"/>
        <w:rPr>
          <w:rFonts w:ascii="Arial" w:hAnsi="Arial" w:cs="Arial"/>
          <w:sz w:val="22"/>
          <w:szCs w:val="22"/>
        </w:rPr>
      </w:pPr>
      <w:r w:rsidRPr="004447BF">
        <w:rPr>
          <w:rFonts w:ascii="Arial" w:hAnsi="Arial" w:cs="Arial"/>
          <w:sz w:val="22"/>
          <w:szCs w:val="22"/>
        </w:rPr>
        <w:t xml:space="preserve">Potenciál pre spoluprácu vidí BSK v oblasti inovácii, vedy, výskumu a technológii,  v spolupráci malých a stredných podnikov so vzdelávacími inštitúciami - </w:t>
      </w:r>
      <w:r w:rsidRPr="004447BF">
        <w:rPr>
          <w:rFonts w:ascii="Arial" w:hAnsi="Arial" w:cs="Arial"/>
          <w:b/>
          <w:sz w:val="22"/>
          <w:szCs w:val="22"/>
        </w:rPr>
        <w:t>stredné odborné školy a univerzity</w:t>
      </w:r>
      <w:r w:rsidRPr="004447BF">
        <w:rPr>
          <w:rFonts w:ascii="Arial" w:hAnsi="Arial" w:cs="Arial"/>
          <w:sz w:val="22"/>
          <w:szCs w:val="22"/>
        </w:rPr>
        <w:t xml:space="preserve"> a verejnými inštitúciami ako zriaďovateľmi škôl, a to napríklad formou vytvárania </w:t>
      </w:r>
      <w:r w:rsidRPr="004447BF">
        <w:rPr>
          <w:rFonts w:ascii="Arial" w:hAnsi="Arial" w:cs="Arial"/>
          <w:b/>
          <w:sz w:val="22"/>
          <w:szCs w:val="22"/>
        </w:rPr>
        <w:t>centier odborného výcviku</w:t>
      </w:r>
      <w:r w:rsidRPr="004447BF">
        <w:rPr>
          <w:rFonts w:ascii="Arial" w:hAnsi="Arial" w:cs="Arial"/>
          <w:sz w:val="22"/>
          <w:szCs w:val="22"/>
        </w:rPr>
        <w:t xml:space="preserve"> (prepojenie školy s praxou), ktoré BSK už realizuje. Tým sa zabezpečí adekvátna pripravenosť absolventov pre potreby </w:t>
      </w:r>
      <w:r w:rsidRPr="004447BF">
        <w:rPr>
          <w:rFonts w:ascii="Arial" w:hAnsi="Arial" w:cs="Arial"/>
          <w:b/>
          <w:sz w:val="22"/>
          <w:szCs w:val="22"/>
        </w:rPr>
        <w:t>spoločného trhu práce</w:t>
      </w:r>
      <w:r w:rsidRPr="004447BF">
        <w:rPr>
          <w:rFonts w:ascii="Arial" w:hAnsi="Arial" w:cs="Arial"/>
          <w:sz w:val="22"/>
          <w:szCs w:val="22"/>
        </w:rPr>
        <w:t xml:space="preserve"> všetkých zainteresovaných regiónov, čím môže byť umožnená aj následná pracovná mobilita.</w:t>
      </w:r>
      <w:r w:rsidRPr="00A4438A">
        <w:rPr>
          <w:rFonts w:ascii="Arial" w:hAnsi="Arial" w:cs="Arial"/>
          <w:sz w:val="22"/>
          <w:szCs w:val="22"/>
        </w:rPr>
        <w:t xml:space="preserve"> </w:t>
      </w:r>
    </w:p>
    <w:p w:rsidR="004447BF" w:rsidRDefault="004447BF" w:rsidP="00654EA0">
      <w:pPr>
        <w:contextualSpacing/>
        <w:jc w:val="both"/>
        <w:rPr>
          <w:rFonts w:ascii="Arial" w:hAnsi="Arial" w:cs="Arial"/>
          <w:sz w:val="22"/>
          <w:szCs w:val="22"/>
        </w:rPr>
      </w:pPr>
    </w:p>
    <w:p w:rsidR="002B2F09" w:rsidRDefault="002B2F09" w:rsidP="004447BF">
      <w:pPr>
        <w:contextualSpacing/>
        <w:jc w:val="both"/>
        <w:rPr>
          <w:rFonts w:ascii="Arial" w:hAnsi="Arial" w:cs="Arial"/>
          <w:b/>
          <w:sz w:val="22"/>
          <w:szCs w:val="22"/>
        </w:rPr>
      </w:pPr>
    </w:p>
    <w:p w:rsidR="002B2F09" w:rsidRDefault="002B2F09" w:rsidP="004447BF">
      <w:pPr>
        <w:contextualSpacing/>
        <w:jc w:val="both"/>
        <w:rPr>
          <w:rFonts w:ascii="Arial" w:hAnsi="Arial" w:cs="Arial"/>
          <w:b/>
          <w:sz w:val="22"/>
          <w:szCs w:val="22"/>
        </w:rPr>
      </w:pPr>
    </w:p>
    <w:p w:rsidR="00A4438A" w:rsidRDefault="00470F32" w:rsidP="004447BF">
      <w:pPr>
        <w:contextualSpacing/>
        <w:jc w:val="both"/>
        <w:rPr>
          <w:rFonts w:ascii="Arial" w:hAnsi="Arial" w:cs="Arial"/>
          <w:b/>
          <w:sz w:val="22"/>
          <w:szCs w:val="22"/>
        </w:rPr>
      </w:pPr>
      <w:r w:rsidRPr="004447BF">
        <w:rPr>
          <w:rFonts w:ascii="Arial" w:hAnsi="Arial" w:cs="Arial"/>
          <w:b/>
          <w:sz w:val="22"/>
          <w:szCs w:val="22"/>
        </w:rPr>
        <w:t>Pozícia BSK pre zlepšenie implementácie projektov a čerpania eurofondov v novom programovom období v rámci cezhraničnej spolupráce</w:t>
      </w:r>
      <w:r w:rsidR="004447BF" w:rsidRPr="004447BF">
        <w:rPr>
          <w:rFonts w:ascii="Arial" w:hAnsi="Arial" w:cs="Arial"/>
          <w:b/>
          <w:sz w:val="22"/>
          <w:szCs w:val="22"/>
        </w:rPr>
        <w:t>:</w:t>
      </w:r>
    </w:p>
    <w:p w:rsidR="002B2F09" w:rsidRPr="004447BF" w:rsidRDefault="002B2F09" w:rsidP="004447BF">
      <w:pPr>
        <w:contextualSpacing/>
        <w:jc w:val="both"/>
        <w:rPr>
          <w:rFonts w:ascii="Arial" w:hAnsi="Arial" w:cs="Arial"/>
          <w:b/>
          <w:sz w:val="22"/>
          <w:szCs w:val="22"/>
        </w:rPr>
      </w:pP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Aktívna spolupráca s orgánmi samospráv a štátnych inštitúcií pri príprave nového programového obdobia, príprava na prvé oficiálne stretnutie pracovnej skupiny k programov</w:t>
      </w:r>
      <w:r w:rsidR="0041061B">
        <w:rPr>
          <w:rFonts w:ascii="Arial" w:hAnsi="Arial" w:cs="Arial"/>
          <w:color w:val="000000"/>
          <w:sz w:val="22"/>
          <w:szCs w:val="22"/>
          <w:lang w:eastAsia="en-GB"/>
        </w:rPr>
        <w:t>ému</w:t>
      </w:r>
      <w:r w:rsidRPr="00470F32">
        <w:rPr>
          <w:rFonts w:ascii="Arial" w:hAnsi="Arial" w:cs="Arial"/>
          <w:color w:val="000000"/>
          <w:sz w:val="22"/>
          <w:szCs w:val="22"/>
          <w:lang w:eastAsia="en-GB"/>
        </w:rPr>
        <w:t xml:space="preserve"> obdobiu 2014-2020.</w:t>
      </w:r>
    </w:p>
    <w:p w:rsidR="002B2F09" w:rsidRPr="00470F32" w:rsidRDefault="002B2F09" w:rsidP="002B2F09">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Delenie 50:50 z národných alokácií na program</w:t>
      </w:r>
    </w:p>
    <w:p w:rsidR="002B2F09" w:rsidRPr="00470F32" w:rsidRDefault="0041061B" w:rsidP="002B2F09">
      <w:pPr>
        <w:pStyle w:val="Odsekzoznamu"/>
        <w:numPr>
          <w:ilvl w:val="0"/>
          <w:numId w:val="31"/>
        </w:numPr>
        <w:autoSpaceDE w:val="0"/>
        <w:autoSpaceDN w:val="0"/>
        <w:contextualSpacing w:val="0"/>
        <w:jc w:val="both"/>
        <w:rPr>
          <w:rFonts w:ascii="Arial" w:hAnsi="Arial" w:cs="Arial"/>
          <w:color w:val="000000"/>
          <w:sz w:val="22"/>
          <w:szCs w:val="22"/>
          <w:lang w:eastAsia="en-GB"/>
        </w:rPr>
      </w:pPr>
      <w:r>
        <w:rPr>
          <w:rFonts w:ascii="Arial" w:hAnsi="Arial" w:cs="Arial"/>
          <w:color w:val="000000"/>
          <w:sz w:val="22"/>
          <w:szCs w:val="22"/>
          <w:lang w:eastAsia="en-GB"/>
        </w:rPr>
        <w:t>75% EFRR</w:t>
      </w:r>
      <w:r w:rsidR="000037E2">
        <w:rPr>
          <w:rFonts w:ascii="Arial" w:hAnsi="Arial" w:cs="Arial"/>
          <w:color w:val="000000"/>
          <w:sz w:val="22"/>
          <w:szCs w:val="22"/>
          <w:lang w:eastAsia="en-GB"/>
        </w:rPr>
        <w:t xml:space="preserve"> spolu</w:t>
      </w:r>
      <w:r w:rsidR="002B2F09" w:rsidRPr="00470F32">
        <w:rPr>
          <w:rFonts w:ascii="Arial" w:hAnsi="Arial" w:cs="Arial"/>
          <w:color w:val="000000"/>
          <w:sz w:val="22"/>
          <w:szCs w:val="22"/>
          <w:lang w:eastAsia="en-GB"/>
        </w:rPr>
        <w:t>financovanie pre všetky regióny</w:t>
      </w:r>
      <w:r w:rsidR="002B2F09">
        <w:rPr>
          <w:rFonts w:ascii="Arial" w:hAnsi="Arial" w:cs="Arial"/>
          <w:color w:val="000000"/>
          <w:sz w:val="22"/>
          <w:szCs w:val="22"/>
          <w:lang w:eastAsia="en-GB"/>
        </w:rPr>
        <w:t xml:space="preserve"> (snaha o</w:t>
      </w:r>
      <w:r w:rsidR="000037E2">
        <w:rPr>
          <w:rFonts w:ascii="Arial" w:hAnsi="Arial" w:cs="Arial"/>
          <w:color w:val="000000"/>
          <w:sz w:val="22"/>
          <w:szCs w:val="22"/>
          <w:lang w:eastAsia="en-GB"/>
        </w:rPr>
        <w:t> </w:t>
      </w:r>
      <w:r w:rsidR="002B2F09">
        <w:rPr>
          <w:rFonts w:ascii="Arial" w:hAnsi="Arial" w:cs="Arial"/>
          <w:color w:val="000000"/>
          <w:sz w:val="22"/>
          <w:szCs w:val="22"/>
          <w:lang w:eastAsia="en-GB"/>
        </w:rPr>
        <w:t>navýšenie</w:t>
      </w:r>
      <w:r w:rsidR="000037E2">
        <w:rPr>
          <w:rFonts w:ascii="Arial" w:hAnsi="Arial" w:cs="Arial"/>
          <w:color w:val="000000"/>
          <w:sz w:val="22"/>
          <w:szCs w:val="22"/>
          <w:lang w:eastAsia="en-GB"/>
        </w:rPr>
        <w:t xml:space="preserve"> na 85</w:t>
      </w:r>
      <w:r w:rsidR="000037E2">
        <w:rPr>
          <w:rFonts w:ascii="Arial" w:hAnsi="Arial" w:cs="Arial"/>
          <w:color w:val="000000"/>
          <w:sz w:val="22"/>
          <w:szCs w:val="22"/>
          <w:lang w:val="en-US" w:eastAsia="en-GB"/>
        </w:rPr>
        <w:t>%</w:t>
      </w:r>
      <w:r w:rsidR="002B2F09">
        <w:rPr>
          <w:rFonts w:ascii="Arial" w:hAnsi="Arial" w:cs="Arial"/>
          <w:color w:val="000000"/>
          <w:sz w:val="22"/>
          <w:szCs w:val="22"/>
          <w:lang w:val="en-US" w:eastAsia="en-GB"/>
        </w:rPr>
        <w:t>)</w:t>
      </w:r>
    </w:p>
    <w:p w:rsidR="002B2F09" w:rsidRPr="00470F32" w:rsidRDefault="002B2F09" w:rsidP="002B2F09">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15% z celkových výdavkov projektu na personálne výdavky (interný a externý zamestnanci projektu)</w:t>
      </w:r>
    </w:p>
    <w:p w:rsidR="002B2F09" w:rsidRPr="00470F32" w:rsidRDefault="002B2F09" w:rsidP="002B2F09">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 xml:space="preserve">Ciele 1, 6, 7, 10 a 11 na mikroprojekty </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Zavedenie systému predfinancovania projektov</w:t>
      </w:r>
      <w:r w:rsidR="000037E2">
        <w:rPr>
          <w:rFonts w:ascii="Arial" w:hAnsi="Arial" w:cs="Arial"/>
          <w:color w:val="000000"/>
          <w:sz w:val="22"/>
          <w:szCs w:val="22"/>
          <w:lang w:eastAsia="en-GB"/>
        </w:rPr>
        <w:t xml:space="preserve"> (20% - 30% po podpise NFP ako 1</w:t>
      </w:r>
      <w:r w:rsidRPr="00470F32">
        <w:rPr>
          <w:rFonts w:ascii="Arial" w:hAnsi="Arial" w:cs="Arial"/>
          <w:color w:val="000000"/>
          <w:sz w:val="22"/>
          <w:szCs w:val="22"/>
          <w:lang w:eastAsia="en-GB"/>
        </w:rPr>
        <w:t>. zálohová platba)</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 xml:space="preserve">Zjednotenie systému oprávnenosti výdavkov </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Zosúladenie postupov v rámci prvostupňovej kontroly (FLC</w:t>
      </w:r>
      <w:r w:rsidRPr="00470F32">
        <w:rPr>
          <w:rFonts w:ascii="Arial" w:hAnsi="Arial" w:cs="Arial"/>
          <w:color w:val="000000"/>
          <w:sz w:val="22"/>
          <w:szCs w:val="22"/>
          <w:lang w:val="en-US" w:eastAsia="en-GB"/>
        </w:rPr>
        <w:t>)</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Zavedenie mikroprojektov (max. 10 000,- EUR) – (zabránenie umelému navyšovaniu rozpočtov projektov = vyššia efektívnosť) – aj na investičné projekty</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Oprávnená výška NFP bude limitovaná zdrojmi vo výzve (max. na celú výzvu ohraničený limit a zároveň dolné ohraničenie projektov)</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Strategické projekty bez limitov (priamo zadefinované v Programe)</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Oprávnené investičné projekty</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Oprávnenosť MAS a EZÚS</w:t>
      </w:r>
    </w:p>
    <w:p w:rsidR="00470F32" w:rsidRPr="00470F32" w:rsidRDefault="00470F32" w:rsidP="004447BF">
      <w:pPr>
        <w:pStyle w:val="Odsekzoznamu"/>
        <w:numPr>
          <w:ilvl w:val="0"/>
          <w:numId w:val="31"/>
        </w:numPr>
        <w:autoSpaceDE w:val="0"/>
        <w:autoSpaceDN w:val="0"/>
        <w:contextualSpacing w:val="0"/>
        <w:jc w:val="both"/>
        <w:rPr>
          <w:rFonts w:ascii="Arial" w:hAnsi="Arial" w:cs="Arial"/>
          <w:color w:val="000000"/>
          <w:sz w:val="22"/>
          <w:szCs w:val="22"/>
          <w:lang w:eastAsia="en-GB"/>
        </w:rPr>
      </w:pPr>
      <w:r w:rsidRPr="00470F32">
        <w:rPr>
          <w:rFonts w:ascii="Arial" w:hAnsi="Arial" w:cs="Arial"/>
          <w:color w:val="000000"/>
          <w:sz w:val="22"/>
          <w:szCs w:val="22"/>
          <w:lang w:eastAsia="en-GB"/>
        </w:rPr>
        <w:t>Povinnosť konzultácií žiadateľov na župách</w:t>
      </w:r>
    </w:p>
    <w:p w:rsidR="00470F32" w:rsidRPr="00470F32" w:rsidRDefault="00470F32" w:rsidP="004447BF">
      <w:pPr>
        <w:pStyle w:val="Odsekzoznamu"/>
        <w:numPr>
          <w:ilvl w:val="0"/>
          <w:numId w:val="31"/>
        </w:numPr>
        <w:autoSpaceDE w:val="0"/>
        <w:autoSpaceDN w:val="0"/>
        <w:contextualSpacing w:val="0"/>
        <w:jc w:val="both"/>
        <w:rPr>
          <w:rFonts w:ascii="Arial" w:hAnsi="Arial" w:cs="Arial"/>
          <w:bCs/>
          <w:sz w:val="22"/>
          <w:szCs w:val="22"/>
          <w:lang w:eastAsia="en-GB"/>
        </w:rPr>
      </w:pPr>
      <w:r w:rsidRPr="00470F32">
        <w:rPr>
          <w:rFonts w:ascii="Arial" w:hAnsi="Arial" w:cs="Arial"/>
          <w:bCs/>
          <w:sz w:val="22"/>
          <w:szCs w:val="22"/>
          <w:lang w:eastAsia="en-GB"/>
        </w:rPr>
        <w:t>Vytvorenie regionálneho bodu programu bližšie k žiadateľom (Bratislava/Trnava), čím by sa uľahčila možnosť získania informácií, urýchlil proces tvorby projektov, zvýšil záujem o podporu z predmetného programu - Info bod na každej župe</w:t>
      </w:r>
      <w:r>
        <w:rPr>
          <w:rFonts w:ascii="Arial" w:hAnsi="Arial" w:cs="Arial"/>
          <w:bCs/>
          <w:sz w:val="22"/>
          <w:szCs w:val="22"/>
          <w:lang w:eastAsia="en-GB"/>
        </w:rPr>
        <w:t xml:space="preserve"> (relevantné pre SK – HU)</w:t>
      </w:r>
    </w:p>
    <w:p w:rsidR="00470F32" w:rsidRPr="00470F32" w:rsidRDefault="00470F32" w:rsidP="004447BF">
      <w:pPr>
        <w:pStyle w:val="Odsekzoznamu"/>
        <w:autoSpaceDE w:val="0"/>
        <w:autoSpaceDN w:val="0"/>
        <w:ind w:left="1080"/>
        <w:contextualSpacing w:val="0"/>
        <w:jc w:val="both"/>
        <w:rPr>
          <w:rFonts w:ascii="Arial" w:hAnsi="Arial" w:cs="Arial"/>
          <w:color w:val="000000"/>
          <w:sz w:val="22"/>
          <w:szCs w:val="22"/>
          <w:lang w:eastAsia="en-GB"/>
        </w:rPr>
      </w:pPr>
    </w:p>
    <w:p w:rsidR="00804F73" w:rsidRDefault="00804F73" w:rsidP="00654EA0">
      <w:pPr>
        <w:jc w:val="both"/>
        <w:rPr>
          <w:rFonts w:ascii="Arial" w:hAnsi="Arial" w:cs="Arial"/>
          <w:b/>
          <w:color w:val="000000"/>
          <w:sz w:val="22"/>
          <w:szCs w:val="22"/>
        </w:rPr>
      </w:pPr>
    </w:p>
    <w:p w:rsidR="005C1A66" w:rsidRPr="008C6106" w:rsidRDefault="00EE5707" w:rsidP="00654EA0">
      <w:pPr>
        <w:jc w:val="both"/>
        <w:rPr>
          <w:rFonts w:ascii="Arial" w:hAnsi="Arial" w:cs="Arial"/>
          <w:b/>
          <w:color w:val="000000"/>
          <w:sz w:val="22"/>
          <w:szCs w:val="22"/>
        </w:rPr>
      </w:pPr>
      <w:r>
        <w:rPr>
          <w:rFonts w:ascii="Arial" w:hAnsi="Arial" w:cs="Arial"/>
          <w:b/>
          <w:color w:val="000000"/>
          <w:sz w:val="22"/>
          <w:szCs w:val="22"/>
        </w:rPr>
        <w:t xml:space="preserve">Pozícia </w:t>
      </w:r>
      <w:r w:rsidR="008C6106" w:rsidRPr="008C6106">
        <w:rPr>
          <w:rFonts w:ascii="Arial" w:hAnsi="Arial" w:cs="Arial"/>
          <w:b/>
          <w:color w:val="000000"/>
          <w:sz w:val="22"/>
          <w:szCs w:val="22"/>
        </w:rPr>
        <w:t>BSK v rámci nadnárodnej spolupráce</w:t>
      </w:r>
    </w:p>
    <w:p w:rsidR="008C6106" w:rsidRDefault="008C6106" w:rsidP="00654EA0">
      <w:pPr>
        <w:jc w:val="both"/>
        <w:rPr>
          <w:rFonts w:ascii="Arial" w:hAnsi="Arial" w:cs="Arial"/>
          <w:color w:val="000000"/>
          <w:sz w:val="22"/>
          <w:szCs w:val="22"/>
        </w:rPr>
      </w:pPr>
    </w:p>
    <w:p w:rsidR="00B830E1" w:rsidRDefault="00702085" w:rsidP="002833EB">
      <w:pPr>
        <w:jc w:val="both"/>
        <w:rPr>
          <w:rFonts w:ascii="Arial" w:hAnsi="Arial" w:cs="Arial"/>
          <w:sz w:val="22"/>
          <w:szCs w:val="22"/>
        </w:rPr>
      </w:pPr>
      <w:r>
        <w:rPr>
          <w:rFonts w:ascii="Arial" w:hAnsi="Arial" w:cs="Arial"/>
          <w:sz w:val="22"/>
          <w:szCs w:val="22"/>
        </w:rPr>
        <w:t xml:space="preserve">S cieľom komplexného rozvoja územia BSK bola v priebehu roka 2012 spracovaná analytická štúdia </w:t>
      </w:r>
      <w:r w:rsidRPr="005F459B">
        <w:rPr>
          <w:rFonts w:ascii="Arial" w:hAnsi="Arial" w:cs="Arial"/>
          <w:b/>
          <w:sz w:val="22"/>
          <w:szCs w:val="22"/>
        </w:rPr>
        <w:t>“Analýza potenciálu projektovej spolupráce v rámci operačných programov Juhovýchodná Európa a Stredná Európa“</w:t>
      </w:r>
      <w:r w:rsidR="0041061B">
        <w:rPr>
          <w:rFonts w:ascii="Arial" w:hAnsi="Arial" w:cs="Arial"/>
          <w:sz w:val="22"/>
          <w:szCs w:val="22"/>
        </w:rPr>
        <w:t xml:space="preserve"> v rámci ktorej bolo </w:t>
      </w:r>
      <w:r>
        <w:rPr>
          <w:rFonts w:ascii="Arial" w:hAnsi="Arial" w:cs="Arial"/>
          <w:sz w:val="22"/>
          <w:szCs w:val="22"/>
        </w:rPr>
        <w:t xml:space="preserve">pre nové programové obdobie </w:t>
      </w:r>
      <w:r w:rsidR="0041061B">
        <w:rPr>
          <w:rFonts w:ascii="Arial" w:hAnsi="Arial" w:cs="Arial"/>
          <w:sz w:val="22"/>
          <w:szCs w:val="22"/>
        </w:rPr>
        <w:t>2014-2020</w:t>
      </w:r>
      <w:r>
        <w:rPr>
          <w:rFonts w:ascii="Arial" w:hAnsi="Arial" w:cs="Arial"/>
          <w:sz w:val="22"/>
          <w:szCs w:val="22"/>
        </w:rPr>
        <w:t xml:space="preserve"> vytvorených 20 projektových zámerov na základe stanovených priorít BSK. </w:t>
      </w:r>
      <w:r w:rsidR="00EE5707">
        <w:rPr>
          <w:rFonts w:ascii="Arial" w:hAnsi="Arial" w:cs="Arial"/>
          <w:sz w:val="22"/>
          <w:szCs w:val="22"/>
        </w:rPr>
        <w:t xml:space="preserve">Momentálne prebieha predstavovanie projektových zámerov potenciálnym partnerom v rámci oprávnenosti územia jednotlivých programov. </w:t>
      </w:r>
    </w:p>
    <w:p w:rsidR="0005107B" w:rsidRDefault="0005107B" w:rsidP="002833EB">
      <w:pPr>
        <w:jc w:val="both"/>
        <w:rPr>
          <w:rFonts w:ascii="Arial" w:hAnsi="Arial" w:cs="Arial"/>
          <w:sz w:val="22"/>
          <w:szCs w:val="22"/>
        </w:rPr>
      </w:pPr>
    </w:p>
    <w:p w:rsidR="0005107B" w:rsidRPr="0005107B" w:rsidRDefault="0005107B" w:rsidP="0005107B">
      <w:pPr>
        <w:spacing w:after="240"/>
        <w:rPr>
          <w:rFonts w:ascii="Arial" w:hAnsi="Arial" w:cs="Arial"/>
          <w:b/>
          <w:sz w:val="22"/>
          <w:szCs w:val="22"/>
        </w:rPr>
      </w:pPr>
      <w:r w:rsidRPr="0005107B">
        <w:rPr>
          <w:rFonts w:ascii="Arial" w:hAnsi="Arial" w:cs="Arial"/>
          <w:b/>
          <w:sz w:val="22"/>
          <w:szCs w:val="22"/>
        </w:rPr>
        <w:lastRenderedPageBreak/>
        <w:t>Operačný program INTERACT II v procese prípravy programového obdobia 2014 - 2020</w:t>
      </w:r>
    </w:p>
    <w:p w:rsidR="0005107B" w:rsidRPr="0005107B" w:rsidRDefault="0005107B" w:rsidP="0005107B">
      <w:pPr>
        <w:spacing w:after="240"/>
        <w:jc w:val="both"/>
        <w:rPr>
          <w:rFonts w:ascii="Arial" w:hAnsi="Arial" w:cs="Arial"/>
          <w:sz w:val="22"/>
          <w:szCs w:val="22"/>
        </w:rPr>
      </w:pPr>
      <w:r w:rsidRPr="0005107B">
        <w:rPr>
          <w:rFonts w:ascii="Arial" w:hAnsi="Arial" w:cs="Arial"/>
          <w:sz w:val="22"/>
          <w:szCs w:val="22"/>
        </w:rPr>
        <w:t xml:space="preserve">OP INTERACT II sa otázke prípravy nového programového obdobia po prvýkrát venoval počas 7. stretnutia národných kontaktných bodov a 8. zasadnutia monitorovacieho výboru 9. - 10.11.2011 v Budapešti. V priebehu uvedených stretnutí bola pozornosť zameraná najmä na diskusiu o nových aktéroch, ktorí môžu byť prínosom pre operačný program v budúcnosti a o nových cieľových skupinách. Nosnou cieľovou skupinou by mali aj v nasledujúcom období zostať programy Európskej územnej spolupráce, pričom však je dôležité zamerať sa aj na nové cieľové skupiny za účelom dosiahnutia vyššieho vplyvu Európskej územnej spolupráce. Na uvedenom monitorovacom výbore boli dohodnuté princípy vytvorenia programovacej skupiny, tzv. Programming Task Force t. j. skupiny zloženej zo zástupcov krajín, zapojených do OP INTERACT II, ktorá má na starosti prípravu OP INTERACT III pre programové obdobie 2014 - 2020. Zároveň monitorovací výbor schválil mandát pre RO, aby začal programovací proces, vytvorenie programovacej skupiny, návrh časového harmonogramu prípravy operačného programu a hradil výdavky spojené s programovaním. </w:t>
      </w:r>
    </w:p>
    <w:p w:rsidR="0005107B" w:rsidRPr="0005107B" w:rsidRDefault="00A77560" w:rsidP="0005107B">
      <w:pPr>
        <w:spacing w:after="240"/>
        <w:jc w:val="both"/>
        <w:rPr>
          <w:rFonts w:ascii="Arial" w:hAnsi="Arial" w:cs="Arial"/>
          <w:sz w:val="22"/>
          <w:szCs w:val="22"/>
        </w:rPr>
      </w:pPr>
      <w:r>
        <w:rPr>
          <w:rFonts w:ascii="Arial" w:hAnsi="Arial" w:cs="Arial"/>
          <w:sz w:val="22"/>
          <w:szCs w:val="22"/>
        </w:rPr>
        <w:t xml:space="preserve">Dňa </w:t>
      </w:r>
      <w:r w:rsidR="0005107B" w:rsidRPr="0005107B">
        <w:rPr>
          <w:rFonts w:ascii="Arial" w:hAnsi="Arial" w:cs="Arial"/>
          <w:sz w:val="22"/>
          <w:szCs w:val="22"/>
        </w:rPr>
        <w:t>29.05.2012 sa uskutočnilo prvé stretnutie programovacej skupiny, v ktorej je zastúpených 10 krajín zapojených do OP INTERACT II. Na uvedenom stretnutí boli dohodnuté princípy práce v rámci programovacej skupiny a zaznel návrh, aby bol OP INTERACT III 2014 - 2020 vypracovaný interne zamestnancami OP INTERACT II (uvedený návrh monitorovací výbor dňa 30.05.2012 schválil). Programovacia skupina zároveň požiadala riadiaci orgán o vypracovanie koncepčného dokumentu, ktorý bude tvoriť základ budúceho operačného programu. Na zasadnutí sa taktiež diskutovalo o prvom návrhu špecifikácie podkladov pre ex ante hodnotenie.</w:t>
      </w:r>
    </w:p>
    <w:p w:rsidR="0005107B" w:rsidRPr="0005107B" w:rsidRDefault="0005107B" w:rsidP="0005107B">
      <w:pPr>
        <w:spacing w:after="240"/>
        <w:jc w:val="both"/>
        <w:rPr>
          <w:rFonts w:ascii="Arial" w:hAnsi="Arial" w:cs="Arial"/>
          <w:sz w:val="22"/>
          <w:szCs w:val="22"/>
        </w:rPr>
      </w:pPr>
      <w:r w:rsidRPr="0005107B">
        <w:rPr>
          <w:rFonts w:ascii="Arial" w:hAnsi="Arial" w:cs="Arial"/>
          <w:sz w:val="22"/>
          <w:szCs w:val="22"/>
        </w:rPr>
        <w:t>V druhej polovici roku 2012, konkrétne v septembri a novembri sa uskutočnili dve zasadnutia programovacej skupiny</w:t>
      </w:r>
      <w:r w:rsidR="00A77560">
        <w:rPr>
          <w:rFonts w:ascii="Arial" w:hAnsi="Arial" w:cs="Arial"/>
          <w:sz w:val="22"/>
          <w:szCs w:val="22"/>
        </w:rPr>
        <w:t xml:space="preserve">. </w:t>
      </w:r>
      <w:r w:rsidRPr="0005107B">
        <w:rPr>
          <w:rFonts w:ascii="Arial" w:hAnsi="Arial" w:cs="Arial"/>
          <w:sz w:val="22"/>
          <w:szCs w:val="22"/>
        </w:rPr>
        <w:t xml:space="preserve">Na stretnutí v dňoch 18. - 19.09.2012 v Bruseli bol prediskutovaný prvý návrh koncepčného dokumentu tzv. INTERACT III 2014-2020 Orientation Paper, jednotlivé kroky programovacieho procesu a revidovaná špecifikácia podkladov pre ex ante hodnotenie. Počas tretieho zasadnutia programovej skupiny </w:t>
      </w:r>
      <w:r w:rsidR="00A77560">
        <w:rPr>
          <w:rFonts w:ascii="Arial" w:hAnsi="Arial" w:cs="Arial"/>
          <w:sz w:val="22"/>
          <w:szCs w:val="22"/>
        </w:rPr>
        <w:t xml:space="preserve">dňa </w:t>
      </w:r>
      <w:r w:rsidRPr="0005107B">
        <w:rPr>
          <w:rFonts w:ascii="Arial" w:hAnsi="Arial" w:cs="Arial"/>
          <w:sz w:val="22"/>
          <w:szCs w:val="22"/>
        </w:rPr>
        <w:t xml:space="preserve">07.11.2012 v Kodani pokračovala diskusia ku koncepčnému dokumentu, ktorý RO rozšíril a dopracoval na základe predložených pripomienok. Taktiež sa diskutovalo o budúcej riadiacej štruktúre a možnostiach, ako zlepšiť a zefektívniť systém práce v rámci OP INTERACT III. </w:t>
      </w:r>
    </w:p>
    <w:p w:rsidR="0005107B" w:rsidRPr="0005107B" w:rsidRDefault="0005107B" w:rsidP="0005107B">
      <w:pPr>
        <w:spacing w:after="240"/>
        <w:jc w:val="both"/>
        <w:rPr>
          <w:rFonts w:ascii="Arial" w:hAnsi="Arial" w:cs="Arial"/>
          <w:sz w:val="22"/>
          <w:szCs w:val="22"/>
        </w:rPr>
      </w:pPr>
      <w:r w:rsidRPr="0005107B">
        <w:rPr>
          <w:rFonts w:ascii="Arial" w:hAnsi="Arial" w:cs="Arial"/>
          <w:sz w:val="22"/>
          <w:szCs w:val="22"/>
        </w:rPr>
        <w:t>Listom zo dňa 11. 09. 2012 riadiaci orgán OP INTERACT II vyzval všetky členské krajiny EÚ, Chorvátsko, Nórsko a Švajčiarsko, aby v termíne do 15. 01. 2013 vyjadrili svoj záujem o prevzatie funkcií riadiaceho orgánu. Bratislavský samosprávny kraj ako súčasný riadiaci orgán má záujem vykonávať túto úlohu aj v programovom období 2014 - 2020, v záujme zabezpečenia rovnosti príležitostí však boli oslovené s možnosťou uchádzať sa o tento post všetky vyššie uvedené krajiny. V uvedenom termíne žiadna z krajín, zapojených do OP INTERACT II nevyjadrila svoj záujem o vykonávanie funkcií RO, a jediným kandidátom je Bratislavský samosprávny kraj. MV má o pridelení RO rozhodnúť počas svojho zasadnutia dňa 30.05.2013 na Cypre.</w:t>
      </w:r>
    </w:p>
    <w:p w:rsidR="0005107B" w:rsidRPr="0005107B" w:rsidRDefault="0005107B" w:rsidP="0005107B">
      <w:pPr>
        <w:spacing w:after="240"/>
        <w:jc w:val="both"/>
        <w:rPr>
          <w:rFonts w:ascii="Arial" w:hAnsi="Arial" w:cs="Arial"/>
          <w:sz w:val="22"/>
          <w:szCs w:val="22"/>
        </w:rPr>
      </w:pPr>
      <w:r w:rsidRPr="0005107B">
        <w:rPr>
          <w:rFonts w:ascii="Arial" w:hAnsi="Arial" w:cs="Arial"/>
          <w:sz w:val="22"/>
          <w:szCs w:val="22"/>
        </w:rPr>
        <w:t>V súvislosti s kandidatúrou Bratislavského samosprávneho kraja na post riadiaceho orgánu OP INTERACT III 2014 - 2020 obdržal predseda BSK Pavol Frešo list od ministra financií SR Petra Kažimíra zo dňa 29. 10. 2012, v ktorom minister financií zhodnotil doterajšiu spoluprácu ako prínosnú, profesionálnu a korektnú, a zároveň privítal možnosť spolupráce na implementácii OP INTERACT III v programovom období 2014 - 2020 v pozícii certifikačného orgánu a orgánu auditu.</w:t>
      </w:r>
    </w:p>
    <w:p w:rsidR="0005107B" w:rsidRPr="0005107B" w:rsidRDefault="0005107B" w:rsidP="0005107B">
      <w:pPr>
        <w:spacing w:after="240"/>
        <w:jc w:val="both"/>
        <w:rPr>
          <w:rFonts w:ascii="Arial" w:hAnsi="Arial" w:cs="Arial"/>
          <w:sz w:val="22"/>
          <w:szCs w:val="22"/>
        </w:rPr>
      </w:pPr>
      <w:r w:rsidRPr="0005107B">
        <w:rPr>
          <w:rFonts w:ascii="Arial" w:hAnsi="Arial" w:cs="Arial"/>
          <w:sz w:val="22"/>
          <w:szCs w:val="22"/>
        </w:rPr>
        <w:t>Vláda Slovenskej republiky na svojom zasadnutí dňa 20.03.2013 prijala uznesenie  č. 138/2013, v ktorom odporúča „uchádzať sa Bratislavskému samosprávnemu kraju o mandát riadiaceho orgánu pre operačný program INTERACT III v rámci cieľa ETS pre programové obdobie 2014 – 2020“.</w:t>
      </w:r>
    </w:p>
    <w:sectPr w:rsidR="0005107B" w:rsidRPr="0005107B" w:rsidSect="00F006E5">
      <w:pgSz w:w="12240" w:h="15840"/>
      <w:pgMar w:top="851" w:right="1417" w:bottom="1135"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8CA" w:rsidRDefault="006678CA" w:rsidP="00276315">
      <w:r>
        <w:separator/>
      </w:r>
    </w:p>
  </w:endnote>
  <w:endnote w:type="continuationSeparator" w:id="0">
    <w:p w:rsidR="006678CA" w:rsidRDefault="006678CA" w:rsidP="00276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7E2" w:rsidRDefault="000037E2" w:rsidP="00525E33">
    <w:pPr>
      <w:pStyle w:val="Pta"/>
      <w:jc w:val="right"/>
    </w:pPr>
    <w:r>
      <w:t>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7E2" w:rsidRDefault="000037E2" w:rsidP="00525E33">
    <w:pPr>
      <w:pStyle w:val="Pt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7E2" w:rsidRDefault="000037E2" w:rsidP="00525E33">
    <w:pPr>
      <w:pStyle w:val="Pta"/>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7E2" w:rsidRDefault="000037E2" w:rsidP="00525E33">
    <w:pPr>
      <w:pStyle w:val="Pt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8CA" w:rsidRDefault="006678CA" w:rsidP="00276315">
      <w:r>
        <w:separator/>
      </w:r>
    </w:p>
  </w:footnote>
  <w:footnote w:type="continuationSeparator" w:id="0">
    <w:p w:rsidR="006678CA" w:rsidRDefault="006678CA" w:rsidP="002763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D3B39"/>
    <w:multiLevelType w:val="hybridMultilevel"/>
    <w:tmpl w:val="7F28B4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20E75E2"/>
    <w:multiLevelType w:val="hybridMultilevel"/>
    <w:tmpl w:val="3C9EC9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nsid w:val="031612FC"/>
    <w:multiLevelType w:val="hybridMultilevel"/>
    <w:tmpl w:val="0D56F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DC3E51"/>
    <w:multiLevelType w:val="hybridMultilevel"/>
    <w:tmpl w:val="E5880E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07E4589C"/>
    <w:multiLevelType w:val="hybridMultilevel"/>
    <w:tmpl w:val="CA98A560"/>
    <w:lvl w:ilvl="0" w:tplc="89DC2D00">
      <w:start w:val="20"/>
      <w:numFmt w:val="bullet"/>
      <w:lvlText w:val="-"/>
      <w:lvlJc w:val="left"/>
      <w:pPr>
        <w:ind w:left="1080" w:hanging="72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nsid w:val="11B927A8"/>
    <w:multiLevelType w:val="hybridMultilevel"/>
    <w:tmpl w:val="CFA6D1DA"/>
    <w:lvl w:ilvl="0" w:tplc="BDFCF2FC">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15DF30CD"/>
    <w:multiLevelType w:val="hybridMultilevel"/>
    <w:tmpl w:val="4BF099C8"/>
    <w:lvl w:ilvl="0" w:tplc="041B000F">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99D544B"/>
    <w:multiLevelType w:val="hybridMultilevel"/>
    <w:tmpl w:val="01FEB11A"/>
    <w:lvl w:ilvl="0" w:tplc="041B0001">
      <w:start w:val="1"/>
      <w:numFmt w:val="bullet"/>
      <w:lvlText w:val=""/>
      <w:lvlJc w:val="left"/>
      <w:pPr>
        <w:ind w:left="720" w:hanging="360"/>
      </w:pPr>
      <w:rPr>
        <w:rFonts w:ascii="Symbol" w:hAnsi="Symbol" w:hint="default"/>
      </w:rPr>
    </w:lvl>
    <w:lvl w:ilvl="1" w:tplc="C640F930">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BF408D8"/>
    <w:multiLevelType w:val="hybridMultilevel"/>
    <w:tmpl w:val="0004193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9">
    <w:nsid w:val="1D7B3867"/>
    <w:multiLevelType w:val="hybridMultilevel"/>
    <w:tmpl w:val="EFCA9B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0DA051F"/>
    <w:multiLevelType w:val="hybridMultilevel"/>
    <w:tmpl w:val="3B327CE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nsid w:val="232E56C4"/>
    <w:multiLevelType w:val="hybridMultilevel"/>
    <w:tmpl w:val="B992C9EA"/>
    <w:lvl w:ilvl="0" w:tplc="041B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F85266"/>
    <w:multiLevelType w:val="hybridMultilevel"/>
    <w:tmpl w:val="C652B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2B1759AA"/>
    <w:multiLevelType w:val="hybridMultilevel"/>
    <w:tmpl w:val="73DE99E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5315A79"/>
    <w:multiLevelType w:val="hybridMultilevel"/>
    <w:tmpl w:val="30A20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nsid w:val="3E947839"/>
    <w:multiLevelType w:val="hybridMultilevel"/>
    <w:tmpl w:val="0CF6BF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F501A8E"/>
    <w:multiLevelType w:val="hybridMultilevel"/>
    <w:tmpl w:val="7F28B4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406B0E88"/>
    <w:multiLevelType w:val="hybridMultilevel"/>
    <w:tmpl w:val="3BA824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2C115A2"/>
    <w:multiLevelType w:val="hybridMultilevel"/>
    <w:tmpl w:val="39BE75B0"/>
    <w:lvl w:ilvl="0" w:tplc="08090001">
      <w:start w:val="1"/>
      <w:numFmt w:val="bullet"/>
      <w:lvlText w:val=""/>
      <w:lvlJc w:val="left"/>
      <w:pPr>
        <w:ind w:left="1335" w:hanging="360"/>
      </w:pPr>
      <w:rPr>
        <w:rFonts w:ascii="Symbol" w:hAnsi="Symbol" w:hint="default"/>
      </w:rPr>
    </w:lvl>
    <w:lvl w:ilvl="1" w:tplc="08090003" w:tentative="1">
      <w:start w:val="1"/>
      <w:numFmt w:val="bullet"/>
      <w:lvlText w:val="o"/>
      <w:lvlJc w:val="left"/>
      <w:pPr>
        <w:ind w:left="2055" w:hanging="360"/>
      </w:pPr>
      <w:rPr>
        <w:rFonts w:ascii="Courier New" w:hAnsi="Courier New" w:cs="Courier New" w:hint="default"/>
      </w:rPr>
    </w:lvl>
    <w:lvl w:ilvl="2" w:tplc="08090005" w:tentative="1">
      <w:start w:val="1"/>
      <w:numFmt w:val="bullet"/>
      <w:lvlText w:val=""/>
      <w:lvlJc w:val="left"/>
      <w:pPr>
        <w:ind w:left="2775" w:hanging="360"/>
      </w:pPr>
      <w:rPr>
        <w:rFonts w:ascii="Wingdings" w:hAnsi="Wingdings" w:hint="default"/>
      </w:rPr>
    </w:lvl>
    <w:lvl w:ilvl="3" w:tplc="08090001" w:tentative="1">
      <w:start w:val="1"/>
      <w:numFmt w:val="bullet"/>
      <w:lvlText w:val=""/>
      <w:lvlJc w:val="left"/>
      <w:pPr>
        <w:ind w:left="3495" w:hanging="360"/>
      </w:pPr>
      <w:rPr>
        <w:rFonts w:ascii="Symbol" w:hAnsi="Symbol" w:hint="default"/>
      </w:rPr>
    </w:lvl>
    <w:lvl w:ilvl="4" w:tplc="08090003" w:tentative="1">
      <w:start w:val="1"/>
      <w:numFmt w:val="bullet"/>
      <w:lvlText w:val="o"/>
      <w:lvlJc w:val="left"/>
      <w:pPr>
        <w:ind w:left="4215" w:hanging="360"/>
      </w:pPr>
      <w:rPr>
        <w:rFonts w:ascii="Courier New" w:hAnsi="Courier New" w:cs="Courier New" w:hint="default"/>
      </w:rPr>
    </w:lvl>
    <w:lvl w:ilvl="5" w:tplc="08090005" w:tentative="1">
      <w:start w:val="1"/>
      <w:numFmt w:val="bullet"/>
      <w:lvlText w:val=""/>
      <w:lvlJc w:val="left"/>
      <w:pPr>
        <w:ind w:left="4935" w:hanging="360"/>
      </w:pPr>
      <w:rPr>
        <w:rFonts w:ascii="Wingdings" w:hAnsi="Wingdings" w:hint="default"/>
      </w:rPr>
    </w:lvl>
    <w:lvl w:ilvl="6" w:tplc="08090001" w:tentative="1">
      <w:start w:val="1"/>
      <w:numFmt w:val="bullet"/>
      <w:lvlText w:val=""/>
      <w:lvlJc w:val="left"/>
      <w:pPr>
        <w:ind w:left="5655" w:hanging="360"/>
      </w:pPr>
      <w:rPr>
        <w:rFonts w:ascii="Symbol" w:hAnsi="Symbol" w:hint="default"/>
      </w:rPr>
    </w:lvl>
    <w:lvl w:ilvl="7" w:tplc="08090003" w:tentative="1">
      <w:start w:val="1"/>
      <w:numFmt w:val="bullet"/>
      <w:lvlText w:val="o"/>
      <w:lvlJc w:val="left"/>
      <w:pPr>
        <w:ind w:left="6375" w:hanging="360"/>
      </w:pPr>
      <w:rPr>
        <w:rFonts w:ascii="Courier New" w:hAnsi="Courier New" w:cs="Courier New" w:hint="default"/>
      </w:rPr>
    </w:lvl>
    <w:lvl w:ilvl="8" w:tplc="08090005" w:tentative="1">
      <w:start w:val="1"/>
      <w:numFmt w:val="bullet"/>
      <w:lvlText w:val=""/>
      <w:lvlJc w:val="left"/>
      <w:pPr>
        <w:ind w:left="7095" w:hanging="360"/>
      </w:pPr>
      <w:rPr>
        <w:rFonts w:ascii="Wingdings" w:hAnsi="Wingdings" w:hint="default"/>
      </w:rPr>
    </w:lvl>
  </w:abstractNum>
  <w:abstractNum w:abstractNumId="19">
    <w:nsid w:val="44AB1859"/>
    <w:multiLevelType w:val="hybridMultilevel"/>
    <w:tmpl w:val="E1B099D8"/>
    <w:lvl w:ilvl="0" w:tplc="041B000B">
      <w:start w:val="1"/>
      <w:numFmt w:val="bullet"/>
      <w:lvlText w:val=""/>
      <w:lvlJc w:val="left"/>
      <w:pPr>
        <w:ind w:left="360" w:hanging="360"/>
      </w:pPr>
      <w:rPr>
        <w:rFonts w:ascii="Wingdings" w:hAnsi="Wingdings"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20">
    <w:nsid w:val="46585EF7"/>
    <w:multiLevelType w:val="hybridMultilevel"/>
    <w:tmpl w:val="D99CCB2C"/>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6CA651E"/>
    <w:multiLevelType w:val="hybridMultilevel"/>
    <w:tmpl w:val="7F28B4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89B267C"/>
    <w:multiLevelType w:val="hybridMultilevel"/>
    <w:tmpl w:val="F6CC79C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23">
    <w:nsid w:val="4D9B078D"/>
    <w:multiLevelType w:val="hybridMultilevel"/>
    <w:tmpl w:val="38D00C1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nsid w:val="4E26597F"/>
    <w:multiLevelType w:val="hybridMultilevel"/>
    <w:tmpl w:val="2FD098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nsid w:val="55974181"/>
    <w:multiLevelType w:val="hybridMultilevel"/>
    <w:tmpl w:val="50DEA9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55A55A43"/>
    <w:multiLevelType w:val="hybridMultilevel"/>
    <w:tmpl w:val="18C82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563E56D3"/>
    <w:multiLevelType w:val="hybridMultilevel"/>
    <w:tmpl w:val="FDE4C91C"/>
    <w:lvl w:ilvl="0" w:tplc="E9F616A8">
      <w:numFmt w:val="bullet"/>
      <w:lvlText w:val="-"/>
      <w:lvlJc w:val="left"/>
      <w:pPr>
        <w:ind w:left="720" w:hanging="360"/>
      </w:pPr>
      <w:rPr>
        <w:rFonts w:ascii="Times New Roman" w:eastAsiaTheme="minorHAnsi" w:hAnsi="Times New Roman" w:cs="Times New Roman" w:hint="default"/>
        <w:b/>
        <w:sz w:val="24"/>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nsid w:val="58F572E9"/>
    <w:multiLevelType w:val="hybridMultilevel"/>
    <w:tmpl w:val="A068593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BBF7633"/>
    <w:multiLevelType w:val="hybridMultilevel"/>
    <w:tmpl w:val="99CA57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0">
    <w:nsid w:val="61751006"/>
    <w:multiLevelType w:val="hybridMultilevel"/>
    <w:tmpl w:val="CBF40CB6"/>
    <w:lvl w:ilvl="0" w:tplc="041B0017">
      <w:start w:val="1"/>
      <w:numFmt w:val="lowerLetter"/>
      <w:lvlText w:val="%1)"/>
      <w:lvlJc w:val="left"/>
      <w:pPr>
        <w:ind w:left="1125" w:hanging="360"/>
      </w:pPr>
    </w:lvl>
    <w:lvl w:ilvl="1" w:tplc="041B0019" w:tentative="1">
      <w:start w:val="1"/>
      <w:numFmt w:val="lowerLetter"/>
      <w:lvlText w:val="%2."/>
      <w:lvlJc w:val="left"/>
      <w:pPr>
        <w:ind w:left="1845" w:hanging="360"/>
      </w:pPr>
    </w:lvl>
    <w:lvl w:ilvl="2" w:tplc="041B001B" w:tentative="1">
      <w:start w:val="1"/>
      <w:numFmt w:val="lowerRoman"/>
      <w:lvlText w:val="%3."/>
      <w:lvlJc w:val="right"/>
      <w:pPr>
        <w:ind w:left="2565" w:hanging="180"/>
      </w:pPr>
    </w:lvl>
    <w:lvl w:ilvl="3" w:tplc="041B000F" w:tentative="1">
      <w:start w:val="1"/>
      <w:numFmt w:val="decimal"/>
      <w:lvlText w:val="%4."/>
      <w:lvlJc w:val="left"/>
      <w:pPr>
        <w:ind w:left="3285" w:hanging="360"/>
      </w:pPr>
    </w:lvl>
    <w:lvl w:ilvl="4" w:tplc="041B0019" w:tentative="1">
      <w:start w:val="1"/>
      <w:numFmt w:val="lowerLetter"/>
      <w:lvlText w:val="%5."/>
      <w:lvlJc w:val="left"/>
      <w:pPr>
        <w:ind w:left="4005" w:hanging="360"/>
      </w:pPr>
    </w:lvl>
    <w:lvl w:ilvl="5" w:tplc="041B001B" w:tentative="1">
      <w:start w:val="1"/>
      <w:numFmt w:val="lowerRoman"/>
      <w:lvlText w:val="%6."/>
      <w:lvlJc w:val="right"/>
      <w:pPr>
        <w:ind w:left="4725" w:hanging="180"/>
      </w:pPr>
    </w:lvl>
    <w:lvl w:ilvl="6" w:tplc="041B000F" w:tentative="1">
      <w:start w:val="1"/>
      <w:numFmt w:val="decimal"/>
      <w:lvlText w:val="%7."/>
      <w:lvlJc w:val="left"/>
      <w:pPr>
        <w:ind w:left="5445" w:hanging="360"/>
      </w:pPr>
    </w:lvl>
    <w:lvl w:ilvl="7" w:tplc="041B0019" w:tentative="1">
      <w:start w:val="1"/>
      <w:numFmt w:val="lowerLetter"/>
      <w:lvlText w:val="%8."/>
      <w:lvlJc w:val="left"/>
      <w:pPr>
        <w:ind w:left="6165" w:hanging="360"/>
      </w:pPr>
    </w:lvl>
    <w:lvl w:ilvl="8" w:tplc="041B001B" w:tentative="1">
      <w:start w:val="1"/>
      <w:numFmt w:val="lowerRoman"/>
      <w:lvlText w:val="%9."/>
      <w:lvlJc w:val="right"/>
      <w:pPr>
        <w:ind w:left="6885" w:hanging="180"/>
      </w:pPr>
    </w:lvl>
  </w:abstractNum>
  <w:abstractNum w:abstractNumId="31">
    <w:nsid w:val="635A2D57"/>
    <w:multiLevelType w:val="hybridMultilevel"/>
    <w:tmpl w:val="161EEF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4A85B7E"/>
    <w:multiLevelType w:val="hybridMultilevel"/>
    <w:tmpl w:val="9984D4FA"/>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33">
    <w:nsid w:val="665B70A0"/>
    <w:multiLevelType w:val="hybridMultilevel"/>
    <w:tmpl w:val="D990F76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34">
    <w:nsid w:val="689C7FFE"/>
    <w:multiLevelType w:val="hybridMultilevel"/>
    <w:tmpl w:val="FD6CD8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9471626"/>
    <w:multiLevelType w:val="hybridMultilevel"/>
    <w:tmpl w:val="D7B6F7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CC10180"/>
    <w:multiLevelType w:val="hybridMultilevel"/>
    <w:tmpl w:val="8E4C5CD0"/>
    <w:lvl w:ilvl="0" w:tplc="08090001">
      <w:start w:val="1"/>
      <w:numFmt w:val="bullet"/>
      <w:lvlText w:val=""/>
      <w:lvlJc w:val="left"/>
      <w:pPr>
        <w:ind w:left="1335" w:hanging="360"/>
      </w:pPr>
      <w:rPr>
        <w:rFonts w:ascii="Symbol" w:hAnsi="Symbol" w:hint="default"/>
      </w:rPr>
    </w:lvl>
    <w:lvl w:ilvl="1" w:tplc="08090003" w:tentative="1">
      <w:start w:val="1"/>
      <w:numFmt w:val="bullet"/>
      <w:lvlText w:val="o"/>
      <w:lvlJc w:val="left"/>
      <w:pPr>
        <w:ind w:left="2055" w:hanging="360"/>
      </w:pPr>
      <w:rPr>
        <w:rFonts w:ascii="Courier New" w:hAnsi="Courier New" w:cs="Courier New" w:hint="default"/>
      </w:rPr>
    </w:lvl>
    <w:lvl w:ilvl="2" w:tplc="08090005" w:tentative="1">
      <w:start w:val="1"/>
      <w:numFmt w:val="bullet"/>
      <w:lvlText w:val=""/>
      <w:lvlJc w:val="left"/>
      <w:pPr>
        <w:ind w:left="2775" w:hanging="360"/>
      </w:pPr>
      <w:rPr>
        <w:rFonts w:ascii="Wingdings" w:hAnsi="Wingdings" w:hint="default"/>
      </w:rPr>
    </w:lvl>
    <w:lvl w:ilvl="3" w:tplc="08090001" w:tentative="1">
      <w:start w:val="1"/>
      <w:numFmt w:val="bullet"/>
      <w:lvlText w:val=""/>
      <w:lvlJc w:val="left"/>
      <w:pPr>
        <w:ind w:left="3495" w:hanging="360"/>
      </w:pPr>
      <w:rPr>
        <w:rFonts w:ascii="Symbol" w:hAnsi="Symbol" w:hint="default"/>
      </w:rPr>
    </w:lvl>
    <w:lvl w:ilvl="4" w:tplc="08090003" w:tentative="1">
      <w:start w:val="1"/>
      <w:numFmt w:val="bullet"/>
      <w:lvlText w:val="o"/>
      <w:lvlJc w:val="left"/>
      <w:pPr>
        <w:ind w:left="4215" w:hanging="360"/>
      </w:pPr>
      <w:rPr>
        <w:rFonts w:ascii="Courier New" w:hAnsi="Courier New" w:cs="Courier New" w:hint="default"/>
      </w:rPr>
    </w:lvl>
    <w:lvl w:ilvl="5" w:tplc="08090005" w:tentative="1">
      <w:start w:val="1"/>
      <w:numFmt w:val="bullet"/>
      <w:lvlText w:val=""/>
      <w:lvlJc w:val="left"/>
      <w:pPr>
        <w:ind w:left="4935" w:hanging="360"/>
      </w:pPr>
      <w:rPr>
        <w:rFonts w:ascii="Wingdings" w:hAnsi="Wingdings" w:hint="default"/>
      </w:rPr>
    </w:lvl>
    <w:lvl w:ilvl="6" w:tplc="08090001" w:tentative="1">
      <w:start w:val="1"/>
      <w:numFmt w:val="bullet"/>
      <w:lvlText w:val=""/>
      <w:lvlJc w:val="left"/>
      <w:pPr>
        <w:ind w:left="5655" w:hanging="360"/>
      </w:pPr>
      <w:rPr>
        <w:rFonts w:ascii="Symbol" w:hAnsi="Symbol" w:hint="default"/>
      </w:rPr>
    </w:lvl>
    <w:lvl w:ilvl="7" w:tplc="08090003" w:tentative="1">
      <w:start w:val="1"/>
      <w:numFmt w:val="bullet"/>
      <w:lvlText w:val="o"/>
      <w:lvlJc w:val="left"/>
      <w:pPr>
        <w:ind w:left="6375" w:hanging="360"/>
      </w:pPr>
      <w:rPr>
        <w:rFonts w:ascii="Courier New" w:hAnsi="Courier New" w:cs="Courier New" w:hint="default"/>
      </w:rPr>
    </w:lvl>
    <w:lvl w:ilvl="8" w:tplc="08090005" w:tentative="1">
      <w:start w:val="1"/>
      <w:numFmt w:val="bullet"/>
      <w:lvlText w:val=""/>
      <w:lvlJc w:val="left"/>
      <w:pPr>
        <w:ind w:left="7095" w:hanging="360"/>
      </w:pPr>
      <w:rPr>
        <w:rFonts w:ascii="Wingdings" w:hAnsi="Wingdings" w:hint="default"/>
      </w:rPr>
    </w:lvl>
  </w:abstractNum>
  <w:abstractNum w:abstractNumId="37">
    <w:nsid w:val="6D495C68"/>
    <w:multiLevelType w:val="hybridMultilevel"/>
    <w:tmpl w:val="42A626A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70430706"/>
    <w:multiLevelType w:val="hybridMultilevel"/>
    <w:tmpl w:val="478ADBC8"/>
    <w:lvl w:ilvl="0" w:tplc="E4B0CCC6">
      <w:start w:val="1"/>
      <w:numFmt w:val="bullet"/>
      <w:lvlText w:val=""/>
      <w:lvlJc w:val="left"/>
      <w:pPr>
        <w:ind w:left="721" w:hanging="360"/>
      </w:pPr>
      <w:rPr>
        <w:rFonts w:ascii="Symbol" w:hAnsi="Symbol" w:hint="default"/>
        <w:sz w:val="22"/>
      </w:rPr>
    </w:lvl>
    <w:lvl w:ilvl="1" w:tplc="041B0003">
      <w:start w:val="1"/>
      <w:numFmt w:val="bullet"/>
      <w:lvlText w:val="o"/>
      <w:lvlJc w:val="left"/>
      <w:pPr>
        <w:ind w:left="1441" w:hanging="360"/>
      </w:pPr>
      <w:rPr>
        <w:rFonts w:ascii="Courier New" w:hAnsi="Courier New" w:cs="Times New Roman" w:hint="default"/>
      </w:rPr>
    </w:lvl>
    <w:lvl w:ilvl="2" w:tplc="041B0005">
      <w:start w:val="1"/>
      <w:numFmt w:val="bullet"/>
      <w:lvlText w:val=""/>
      <w:lvlJc w:val="left"/>
      <w:pPr>
        <w:ind w:left="2161" w:hanging="360"/>
      </w:pPr>
      <w:rPr>
        <w:rFonts w:ascii="Wingdings" w:hAnsi="Wingdings" w:hint="default"/>
      </w:rPr>
    </w:lvl>
    <w:lvl w:ilvl="3" w:tplc="041B0001">
      <w:start w:val="1"/>
      <w:numFmt w:val="bullet"/>
      <w:lvlText w:val=""/>
      <w:lvlJc w:val="left"/>
      <w:pPr>
        <w:ind w:left="2881" w:hanging="360"/>
      </w:pPr>
      <w:rPr>
        <w:rFonts w:ascii="Symbol" w:hAnsi="Symbol" w:hint="default"/>
      </w:rPr>
    </w:lvl>
    <w:lvl w:ilvl="4" w:tplc="041B0003">
      <w:start w:val="1"/>
      <w:numFmt w:val="bullet"/>
      <w:lvlText w:val="o"/>
      <w:lvlJc w:val="left"/>
      <w:pPr>
        <w:ind w:left="3601" w:hanging="360"/>
      </w:pPr>
      <w:rPr>
        <w:rFonts w:ascii="Courier New" w:hAnsi="Courier New" w:cs="Times New Roman" w:hint="default"/>
      </w:rPr>
    </w:lvl>
    <w:lvl w:ilvl="5" w:tplc="041B0005">
      <w:start w:val="1"/>
      <w:numFmt w:val="bullet"/>
      <w:lvlText w:val=""/>
      <w:lvlJc w:val="left"/>
      <w:pPr>
        <w:ind w:left="4321" w:hanging="360"/>
      </w:pPr>
      <w:rPr>
        <w:rFonts w:ascii="Wingdings" w:hAnsi="Wingdings" w:hint="default"/>
      </w:rPr>
    </w:lvl>
    <w:lvl w:ilvl="6" w:tplc="041B0001">
      <w:start w:val="1"/>
      <w:numFmt w:val="bullet"/>
      <w:lvlText w:val=""/>
      <w:lvlJc w:val="left"/>
      <w:pPr>
        <w:ind w:left="5041" w:hanging="360"/>
      </w:pPr>
      <w:rPr>
        <w:rFonts w:ascii="Symbol" w:hAnsi="Symbol" w:hint="default"/>
      </w:rPr>
    </w:lvl>
    <w:lvl w:ilvl="7" w:tplc="041B0003">
      <w:start w:val="1"/>
      <w:numFmt w:val="bullet"/>
      <w:lvlText w:val="o"/>
      <w:lvlJc w:val="left"/>
      <w:pPr>
        <w:ind w:left="5761" w:hanging="360"/>
      </w:pPr>
      <w:rPr>
        <w:rFonts w:ascii="Courier New" w:hAnsi="Courier New" w:cs="Times New Roman" w:hint="default"/>
      </w:rPr>
    </w:lvl>
    <w:lvl w:ilvl="8" w:tplc="041B0005">
      <w:start w:val="1"/>
      <w:numFmt w:val="bullet"/>
      <w:lvlText w:val=""/>
      <w:lvlJc w:val="left"/>
      <w:pPr>
        <w:ind w:left="6481" w:hanging="360"/>
      </w:pPr>
      <w:rPr>
        <w:rFonts w:ascii="Wingdings" w:hAnsi="Wingdings" w:hint="default"/>
      </w:rPr>
    </w:lvl>
  </w:abstractNum>
  <w:abstractNum w:abstractNumId="39">
    <w:nsid w:val="70D57CCA"/>
    <w:multiLevelType w:val="multilevel"/>
    <w:tmpl w:val="AFB2D3DE"/>
    <w:lvl w:ilvl="0">
      <w:start w:val="1"/>
      <w:numFmt w:val="decimal"/>
      <w:lvlText w:val="%1"/>
      <w:lvlJc w:val="left"/>
      <w:pPr>
        <w:ind w:left="644" w:hanging="360"/>
      </w:pPr>
      <w:rPr>
        <w:rFonts w:cs="Times New Roman" w:hint="default"/>
        <w:b/>
      </w:rPr>
    </w:lvl>
    <w:lvl w:ilvl="1">
      <w:start w:val="1"/>
      <w:numFmt w:val="decimal"/>
      <w:lvlText w:val="%1.%2"/>
      <w:lvlJc w:val="left"/>
      <w:pPr>
        <w:ind w:left="1080" w:hanging="360"/>
      </w:pPr>
      <w:rPr>
        <w:rFonts w:ascii="Arial Narrow" w:hAnsi="Arial Narrow" w:cs="Times New Roman" w:hint="default"/>
        <w:b/>
        <w:sz w:val="28"/>
      </w:rPr>
    </w:lvl>
    <w:lvl w:ilvl="2">
      <w:start w:val="1"/>
      <w:numFmt w:val="decimal"/>
      <w:lvlText w:val="%1.%2.%3"/>
      <w:lvlJc w:val="left"/>
      <w:pPr>
        <w:ind w:left="2421" w:hanging="720"/>
      </w:pPr>
      <w:rPr>
        <w:rFonts w:cs="Times New Roman" w:hint="default"/>
      </w:rPr>
    </w:lvl>
    <w:lvl w:ilvl="3">
      <w:start w:val="1"/>
      <w:numFmt w:val="decimal"/>
      <w:lvlText w:val="%1.%2.%3.%4"/>
      <w:lvlJc w:val="left"/>
      <w:pPr>
        <w:ind w:left="2880" w:hanging="720"/>
      </w:pPr>
      <w:rPr>
        <w:rFonts w:cs="Times New Roman" w:hint="default"/>
        <w:sz w:val="24"/>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0">
    <w:nsid w:val="7BFB26D7"/>
    <w:multiLevelType w:val="hybridMultilevel"/>
    <w:tmpl w:val="5BFA1474"/>
    <w:lvl w:ilvl="0" w:tplc="041B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13"/>
  </w:num>
  <w:num w:numId="2">
    <w:abstractNumId w:val="0"/>
  </w:num>
  <w:num w:numId="3">
    <w:abstractNumId w:val="30"/>
  </w:num>
  <w:num w:numId="4">
    <w:abstractNumId w:val="19"/>
  </w:num>
  <w:num w:numId="5">
    <w:abstractNumId w:val="33"/>
  </w:num>
  <w:num w:numId="6">
    <w:abstractNumId w:val="22"/>
  </w:num>
  <w:num w:numId="7">
    <w:abstractNumId w:val="38"/>
  </w:num>
  <w:num w:numId="8">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37"/>
  </w:num>
  <w:num w:numId="11">
    <w:abstractNumId w:val="5"/>
  </w:num>
  <w:num w:numId="12">
    <w:abstractNumId w:val="23"/>
  </w:num>
  <w:num w:numId="13">
    <w:abstractNumId w:val="16"/>
  </w:num>
  <w:num w:numId="14">
    <w:abstractNumId w:val="28"/>
  </w:num>
  <w:num w:numId="15">
    <w:abstractNumId w:val="6"/>
  </w:num>
  <w:num w:numId="16">
    <w:abstractNumId w:val="7"/>
  </w:num>
  <w:num w:numId="17">
    <w:abstractNumId w:val="19"/>
  </w:num>
  <w:num w:numId="18">
    <w:abstractNumId w:val="25"/>
  </w:num>
  <w:num w:numId="19">
    <w:abstractNumId w:val="24"/>
  </w:num>
  <w:num w:numId="20">
    <w:abstractNumId w:val="3"/>
  </w:num>
  <w:num w:numId="21">
    <w:abstractNumId w:val="39"/>
  </w:num>
  <w:num w:numId="2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num>
  <w:num w:numId="24">
    <w:abstractNumId w:val="35"/>
  </w:num>
  <w:num w:numId="25">
    <w:abstractNumId w:val="34"/>
  </w:num>
  <w:num w:numId="26">
    <w:abstractNumId w:val="21"/>
  </w:num>
  <w:num w:numId="27">
    <w:abstractNumId w:val="26"/>
  </w:num>
  <w:num w:numId="28">
    <w:abstractNumId w:val="12"/>
  </w:num>
  <w:num w:numId="29">
    <w:abstractNumId w:val="31"/>
  </w:num>
  <w:num w:numId="30">
    <w:abstractNumId w:val="15"/>
  </w:num>
  <w:num w:numId="31">
    <w:abstractNumId w:val="4"/>
  </w:num>
  <w:num w:numId="32">
    <w:abstractNumId w:val="7"/>
  </w:num>
  <w:num w:numId="33">
    <w:abstractNumId w:val="8"/>
  </w:num>
  <w:num w:numId="34">
    <w:abstractNumId w:val="10"/>
  </w:num>
  <w:num w:numId="35">
    <w:abstractNumId w:val="29"/>
  </w:num>
  <w:num w:numId="36">
    <w:abstractNumId w:val="9"/>
  </w:num>
  <w:num w:numId="37">
    <w:abstractNumId w:val="14"/>
  </w:num>
  <w:num w:numId="38">
    <w:abstractNumId w:val="1"/>
  </w:num>
  <w:num w:numId="39">
    <w:abstractNumId w:val="32"/>
  </w:num>
  <w:num w:numId="40">
    <w:abstractNumId w:val="36"/>
  </w:num>
  <w:num w:numId="41">
    <w:abstractNumId w:val="18"/>
  </w:num>
  <w:num w:numId="42">
    <w:abstractNumId w:val="17"/>
  </w:num>
  <w:num w:numId="43">
    <w:abstractNumId w:val="2"/>
  </w:num>
  <w:num w:numId="44">
    <w:abstractNumId w:val="11"/>
  </w:num>
  <w:num w:numId="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951"/>
    <w:rsid w:val="000037E2"/>
    <w:rsid w:val="00010AFA"/>
    <w:rsid w:val="000335DB"/>
    <w:rsid w:val="0005107B"/>
    <w:rsid w:val="00053951"/>
    <w:rsid w:val="00066496"/>
    <w:rsid w:val="00082192"/>
    <w:rsid w:val="00083111"/>
    <w:rsid w:val="000A1670"/>
    <w:rsid w:val="00162319"/>
    <w:rsid w:val="00190930"/>
    <w:rsid w:val="001D1E99"/>
    <w:rsid w:val="00276315"/>
    <w:rsid w:val="002833EB"/>
    <w:rsid w:val="0029034B"/>
    <w:rsid w:val="002B2F09"/>
    <w:rsid w:val="0030193E"/>
    <w:rsid w:val="00320AB8"/>
    <w:rsid w:val="0035350D"/>
    <w:rsid w:val="0038696A"/>
    <w:rsid w:val="003F1CB7"/>
    <w:rsid w:val="0041061B"/>
    <w:rsid w:val="004441C0"/>
    <w:rsid w:val="004447BF"/>
    <w:rsid w:val="00446E1D"/>
    <w:rsid w:val="00465862"/>
    <w:rsid w:val="00470F32"/>
    <w:rsid w:val="00494CF6"/>
    <w:rsid w:val="00511D51"/>
    <w:rsid w:val="00525E33"/>
    <w:rsid w:val="005273BE"/>
    <w:rsid w:val="005573BF"/>
    <w:rsid w:val="0057380F"/>
    <w:rsid w:val="005A228E"/>
    <w:rsid w:val="005B1F7F"/>
    <w:rsid w:val="005B29B6"/>
    <w:rsid w:val="005C1A66"/>
    <w:rsid w:val="0064158F"/>
    <w:rsid w:val="00654EA0"/>
    <w:rsid w:val="006633A5"/>
    <w:rsid w:val="00663429"/>
    <w:rsid w:val="006678CA"/>
    <w:rsid w:val="006F02D9"/>
    <w:rsid w:val="006F10B0"/>
    <w:rsid w:val="00701503"/>
    <w:rsid w:val="00702085"/>
    <w:rsid w:val="00791EDF"/>
    <w:rsid w:val="00793828"/>
    <w:rsid w:val="007B5BE6"/>
    <w:rsid w:val="007F1DFC"/>
    <w:rsid w:val="00804F73"/>
    <w:rsid w:val="0082058F"/>
    <w:rsid w:val="008909F9"/>
    <w:rsid w:val="008C6106"/>
    <w:rsid w:val="008D5664"/>
    <w:rsid w:val="008F2715"/>
    <w:rsid w:val="00A03C84"/>
    <w:rsid w:val="00A4438A"/>
    <w:rsid w:val="00A46D50"/>
    <w:rsid w:val="00A6172B"/>
    <w:rsid w:val="00A72672"/>
    <w:rsid w:val="00A77560"/>
    <w:rsid w:val="00AC30B3"/>
    <w:rsid w:val="00AD4CD8"/>
    <w:rsid w:val="00B33362"/>
    <w:rsid w:val="00B830E1"/>
    <w:rsid w:val="00BA5DD5"/>
    <w:rsid w:val="00BC2F6F"/>
    <w:rsid w:val="00BC6459"/>
    <w:rsid w:val="00C138DA"/>
    <w:rsid w:val="00C322EF"/>
    <w:rsid w:val="00D339B0"/>
    <w:rsid w:val="00D75266"/>
    <w:rsid w:val="00D87540"/>
    <w:rsid w:val="00DA7E74"/>
    <w:rsid w:val="00DE631D"/>
    <w:rsid w:val="00DF62C1"/>
    <w:rsid w:val="00E84178"/>
    <w:rsid w:val="00EA3E4A"/>
    <w:rsid w:val="00EA59F2"/>
    <w:rsid w:val="00EB4964"/>
    <w:rsid w:val="00EC61D5"/>
    <w:rsid w:val="00EE5707"/>
    <w:rsid w:val="00F006E5"/>
    <w:rsid w:val="00FE6E3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311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A6172B"/>
    <w:pPr>
      <w:spacing w:before="100" w:beforeAutospacing="1" w:after="100" w:afterAutospacing="1"/>
      <w:outlineLvl w:val="0"/>
    </w:pPr>
    <w:rPr>
      <w:b/>
      <w:bCs/>
      <w:kern w:val="36"/>
      <w:sz w:val="48"/>
      <w:szCs w:val="48"/>
    </w:rPr>
  </w:style>
  <w:style w:type="paragraph" w:styleId="Nadpis2">
    <w:name w:val="heading 2"/>
    <w:basedOn w:val="Normlny"/>
    <w:next w:val="Normlny"/>
    <w:link w:val="Nadpis2Char"/>
    <w:uiPriority w:val="9"/>
    <w:semiHidden/>
    <w:unhideWhenUsed/>
    <w:qFormat/>
    <w:rsid w:val="00A03C8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83111"/>
    <w:pPr>
      <w:ind w:left="720"/>
      <w:contextualSpacing/>
    </w:pPr>
  </w:style>
  <w:style w:type="paragraph" w:styleId="Textbubliny">
    <w:name w:val="Balloon Text"/>
    <w:basedOn w:val="Normlny"/>
    <w:link w:val="TextbublinyChar"/>
    <w:uiPriority w:val="99"/>
    <w:semiHidden/>
    <w:unhideWhenUsed/>
    <w:rsid w:val="00DA7E74"/>
    <w:rPr>
      <w:rFonts w:ascii="Tahoma" w:hAnsi="Tahoma" w:cs="Tahoma"/>
      <w:sz w:val="16"/>
      <w:szCs w:val="16"/>
    </w:rPr>
  </w:style>
  <w:style w:type="character" w:customStyle="1" w:styleId="TextbublinyChar">
    <w:name w:val="Text bubliny Char"/>
    <w:basedOn w:val="Predvolenpsmoodseku"/>
    <w:link w:val="Textbubliny"/>
    <w:uiPriority w:val="99"/>
    <w:semiHidden/>
    <w:rsid w:val="00DA7E74"/>
    <w:rPr>
      <w:rFonts w:ascii="Tahoma" w:eastAsia="Times New Roman" w:hAnsi="Tahoma" w:cs="Tahoma"/>
      <w:sz w:val="16"/>
      <w:szCs w:val="16"/>
      <w:lang w:eastAsia="sk-SK"/>
    </w:rPr>
  </w:style>
  <w:style w:type="character" w:styleId="Zvraznenie">
    <w:name w:val="Emphasis"/>
    <w:qFormat/>
    <w:rsid w:val="00DF62C1"/>
    <w:rPr>
      <w:i/>
      <w:iCs/>
    </w:rPr>
  </w:style>
  <w:style w:type="character" w:customStyle="1" w:styleId="Nadpis1Char">
    <w:name w:val="Nadpis 1 Char"/>
    <w:basedOn w:val="Predvolenpsmoodseku"/>
    <w:link w:val="Nadpis1"/>
    <w:uiPriority w:val="9"/>
    <w:rsid w:val="00A6172B"/>
    <w:rPr>
      <w:rFonts w:ascii="Times New Roman" w:eastAsia="Times New Roman" w:hAnsi="Times New Roman" w:cs="Times New Roman"/>
      <w:b/>
      <w:bCs/>
      <w:kern w:val="36"/>
      <w:sz w:val="48"/>
      <w:szCs w:val="48"/>
      <w:lang w:eastAsia="sk-SK"/>
    </w:rPr>
  </w:style>
  <w:style w:type="paragraph" w:customStyle="1" w:styleId="ccmainabstract">
    <w:name w:val="cc_main_abstract"/>
    <w:basedOn w:val="Normlny"/>
    <w:rsid w:val="00A6172B"/>
    <w:pPr>
      <w:spacing w:before="100" w:beforeAutospacing="1" w:after="100" w:afterAutospacing="1"/>
    </w:pPr>
  </w:style>
  <w:style w:type="character" w:styleId="Hypertextovprepojenie">
    <w:name w:val="Hyperlink"/>
    <w:basedOn w:val="Predvolenpsmoodseku"/>
    <w:uiPriority w:val="99"/>
    <w:semiHidden/>
    <w:unhideWhenUsed/>
    <w:rsid w:val="006F10B0"/>
    <w:rPr>
      <w:color w:val="0000FF"/>
      <w:u w:val="single"/>
    </w:rPr>
  </w:style>
  <w:style w:type="paragraph" w:styleId="Textpoznmkypodiarou">
    <w:name w:val="footnote text"/>
    <w:aliases w:val="Text poznámky pod čiarou 007,Schriftart: 9 pt,Schriftart: 10 pt,Schriftart: 8 pt,_Poznámka pod čiarou,Footnote Text Char2,Footnote Text Char1 Char,Footnote Text Char2 Char Char,Footnote Text Char1 Char Char Char Char Char Char"/>
    <w:basedOn w:val="Normlny"/>
    <w:link w:val="TextpoznmkypodiarouChar"/>
    <w:uiPriority w:val="99"/>
    <w:semiHidden/>
    <w:unhideWhenUsed/>
    <w:rsid w:val="00276315"/>
    <w:pPr>
      <w:spacing w:after="200" w:line="276" w:lineRule="auto"/>
    </w:pPr>
    <w:rPr>
      <w:rFonts w:ascii="Calibri" w:eastAsiaTheme="minorHAnsi" w:hAnsi="Calibri" w:cs="Calibri"/>
      <w:sz w:val="20"/>
      <w:szCs w:val="20"/>
      <w:lang w:eastAsia="en-US"/>
    </w:rPr>
  </w:style>
  <w:style w:type="character" w:customStyle="1" w:styleId="TextpoznmkypodiarouChar">
    <w:name w:val="Text poznámky pod čiarou Char"/>
    <w:aliases w:val="Text poznámky pod čiarou 007 Char,Schriftart: 9 pt Char,Schriftart: 10 pt Char,Schriftart: 8 pt Char,_Poznámka pod čiarou Char,Footnote Text Char2 Char,Footnote Text Char1 Char Char,Footnote Text Char2 Char Char Char"/>
    <w:basedOn w:val="Predvolenpsmoodseku"/>
    <w:link w:val="Textpoznmkypodiarou"/>
    <w:uiPriority w:val="99"/>
    <w:semiHidden/>
    <w:rsid w:val="00276315"/>
    <w:rPr>
      <w:rFonts w:ascii="Calibri" w:hAnsi="Calibri" w:cs="Calibri"/>
      <w:sz w:val="20"/>
      <w:szCs w:val="20"/>
    </w:rPr>
  </w:style>
  <w:style w:type="character" w:styleId="Odkaznapoznmkupodiarou">
    <w:name w:val="footnote reference"/>
    <w:basedOn w:val="Predvolenpsmoodseku"/>
    <w:uiPriority w:val="99"/>
    <w:semiHidden/>
    <w:unhideWhenUsed/>
    <w:rsid w:val="00276315"/>
    <w:rPr>
      <w:rFonts w:ascii="Times New Roman" w:hAnsi="Times New Roman" w:cs="Times New Roman" w:hint="default"/>
      <w:vertAlign w:val="superscript"/>
    </w:rPr>
  </w:style>
  <w:style w:type="character" w:customStyle="1" w:styleId="Nadpis2Char">
    <w:name w:val="Nadpis 2 Char"/>
    <w:basedOn w:val="Predvolenpsmoodseku"/>
    <w:link w:val="Nadpis2"/>
    <w:uiPriority w:val="9"/>
    <w:semiHidden/>
    <w:rsid w:val="00A03C84"/>
    <w:rPr>
      <w:rFonts w:asciiTheme="majorHAnsi" w:eastAsiaTheme="majorEastAsia" w:hAnsiTheme="majorHAnsi" w:cstheme="majorBidi"/>
      <w:b/>
      <w:bCs/>
      <w:color w:val="4F81BD" w:themeColor="accent1"/>
      <w:sz w:val="26"/>
      <w:szCs w:val="26"/>
      <w:lang w:eastAsia="sk-SK"/>
    </w:rPr>
  </w:style>
  <w:style w:type="character" w:styleId="Odkaznakomentr">
    <w:name w:val="annotation reference"/>
    <w:basedOn w:val="Predvolenpsmoodseku"/>
    <w:uiPriority w:val="99"/>
    <w:semiHidden/>
    <w:unhideWhenUsed/>
    <w:rsid w:val="00D339B0"/>
    <w:rPr>
      <w:sz w:val="16"/>
      <w:szCs w:val="16"/>
    </w:rPr>
  </w:style>
  <w:style w:type="paragraph" w:styleId="Textkomentra">
    <w:name w:val="annotation text"/>
    <w:basedOn w:val="Normlny"/>
    <w:link w:val="TextkomentraChar"/>
    <w:uiPriority w:val="99"/>
    <w:semiHidden/>
    <w:unhideWhenUsed/>
    <w:rsid w:val="00D339B0"/>
    <w:rPr>
      <w:sz w:val="20"/>
      <w:szCs w:val="20"/>
    </w:rPr>
  </w:style>
  <w:style w:type="character" w:customStyle="1" w:styleId="TextkomentraChar">
    <w:name w:val="Text komentára Char"/>
    <w:basedOn w:val="Predvolenpsmoodseku"/>
    <w:link w:val="Textkomentra"/>
    <w:uiPriority w:val="99"/>
    <w:semiHidden/>
    <w:rsid w:val="00D339B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D339B0"/>
    <w:rPr>
      <w:b/>
      <w:bCs/>
    </w:rPr>
  </w:style>
  <w:style w:type="character" w:customStyle="1" w:styleId="PredmetkomentraChar">
    <w:name w:val="Predmet komentára Char"/>
    <w:basedOn w:val="TextkomentraChar"/>
    <w:link w:val="Predmetkomentra"/>
    <w:uiPriority w:val="99"/>
    <w:semiHidden/>
    <w:rsid w:val="00D339B0"/>
    <w:rPr>
      <w:rFonts w:ascii="Times New Roman" w:eastAsia="Times New Roman" w:hAnsi="Times New Roman" w:cs="Times New Roman"/>
      <w:b/>
      <w:bCs/>
      <w:sz w:val="20"/>
      <w:szCs w:val="20"/>
      <w:lang w:eastAsia="sk-SK"/>
    </w:rPr>
  </w:style>
  <w:style w:type="paragraph" w:styleId="Bezriadkovania">
    <w:name w:val="No Spacing"/>
    <w:uiPriority w:val="1"/>
    <w:qFormat/>
    <w:rsid w:val="00D75266"/>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F006E5"/>
    <w:pPr>
      <w:tabs>
        <w:tab w:val="center" w:pos="4536"/>
        <w:tab w:val="right" w:pos="9072"/>
      </w:tabs>
    </w:pPr>
  </w:style>
  <w:style w:type="character" w:customStyle="1" w:styleId="HlavikaChar">
    <w:name w:val="Hlavička Char"/>
    <w:basedOn w:val="Predvolenpsmoodseku"/>
    <w:link w:val="Hlavika"/>
    <w:uiPriority w:val="99"/>
    <w:rsid w:val="00F006E5"/>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006E5"/>
    <w:pPr>
      <w:tabs>
        <w:tab w:val="center" w:pos="4536"/>
        <w:tab w:val="right" w:pos="9072"/>
      </w:tabs>
    </w:pPr>
  </w:style>
  <w:style w:type="character" w:customStyle="1" w:styleId="PtaChar">
    <w:name w:val="Päta Char"/>
    <w:basedOn w:val="Predvolenpsmoodseku"/>
    <w:link w:val="Pta"/>
    <w:uiPriority w:val="99"/>
    <w:rsid w:val="00F006E5"/>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083111"/>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link w:val="Nadpis1Char"/>
    <w:uiPriority w:val="9"/>
    <w:qFormat/>
    <w:rsid w:val="00A6172B"/>
    <w:pPr>
      <w:spacing w:before="100" w:beforeAutospacing="1" w:after="100" w:afterAutospacing="1"/>
      <w:outlineLvl w:val="0"/>
    </w:pPr>
    <w:rPr>
      <w:b/>
      <w:bCs/>
      <w:kern w:val="36"/>
      <w:sz w:val="48"/>
      <w:szCs w:val="48"/>
    </w:rPr>
  </w:style>
  <w:style w:type="paragraph" w:styleId="Nadpis2">
    <w:name w:val="heading 2"/>
    <w:basedOn w:val="Normlny"/>
    <w:next w:val="Normlny"/>
    <w:link w:val="Nadpis2Char"/>
    <w:uiPriority w:val="9"/>
    <w:semiHidden/>
    <w:unhideWhenUsed/>
    <w:qFormat/>
    <w:rsid w:val="00A03C8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083111"/>
    <w:pPr>
      <w:ind w:left="720"/>
      <w:contextualSpacing/>
    </w:pPr>
  </w:style>
  <w:style w:type="paragraph" w:styleId="Textbubliny">
    <w:name w:val="Balloon Text"/>
    <w:basedOn w:val="Normlny"/>
    <w:link w:val="TextbublinyChar"/>
    <w:uiPriority w:val="99"/>
    <w:semiHidden/>
    <w:unhideWhenUsed/>
    <w:rsid w:val="00DA7E74"/>
    <w:rPr>
      <w:rFonts w:ascii="Tahoma" w:hAnsi="Tahoma" w:cs="Tahoma"/>
      <w:sz w:val="16"/>
      <w:szCs w:val="16"/>
    </w:rPr>
  </w:style>
  <w:style w:type="character" w:customStyle="1" w:styleId="TextbublinyChar">
    <w:name w:val="Text bubliny Char"/>
    <w:basedOn w:val="Predvolenpsmoodseku"/>
    <w:link w:val="Textbubliny"/>
    <w:uiPriority w:val="99"/>
    <w:semiHidden/>
    <w:rsid w:val="00DA7E74"/>
    <w:rPr>
      <w:rFonts w:ascii="Tahoma" w:eastAsia="Times New Roman" w:hAnsi="Tahoma" w:cs="Tahoma"/>
      <w:sz w:val="16"/>
      <w:szCs w:val="16"/>
      <w:lang w:eastAsia="sk-SK"/>
    </w:rPr>
  </w:style>
  <w:style w:type="character" w:styleId="Zvraznenie">
    <w:name w:val="Emphasis"/>
    <w:qFormat/>
    <w:rsid w:val="00DF62C1"/>
    <w:rPr>
      <w:i/>
      <w:iCs/>
    </w:rPr>
  </w:style>
  <w:style w:type="character" w:customStyle="1" w:styleId="Nadpis1Char">
    <w:name w:val="Nadpis 1 Char"/>
    <w:basedOn w:val="Predvolenpsmoodseku"/>
    <w:link w:val="Nadpis1"/>
    <w:uiPriority w:val="9"/>
    <w:rsid w:val="00A6172B"/>
    <w:rPr>
      <w:rFonts w:ascii="Times New Roman" w:eastAsia="Times New Roman" w:hAnsi="Times New Roman" w:cs="Times New Roman"/>
      <w:b/>
      <w:bCs/>
      <w:kern w:val="36"/>
      <w:sz w:val="48"/>
      <w:szCs w:val="48"/>
      <w:lang w:eastAsia="sk-SK"/>
    </w:rPr>
  </w:style>
  <w:style w:type="paragraph" w:customStyle="1" w:styleId="ccmainabstract">
    <w:name w:val="cc_main_abstract"/>
    <w:basedOn w:val="Normlny"/>
    <w:rsid w:val="00A6172B"/>
    <w:pPr>
      <w:spacing w:before="100" w:beforeAutospacing="1" w:after="100" w:afterAutospacing="1"/>
    </w:pPr>
  </w:style>
  <w:style w:type="character" w:styleId="Hypertextovprepojenie">
    <w:name w:val="Hyperlink"/>
    <w:basedOn w:val="Predvolenpsmoodseku"/>
    <w:uiPriority w:val="99"/>
    <w:semiHidden/>
    <w:unhideWhenUsed/>
    <w:rsid w:val="006F10B0"/>
    <w:rPr>
      <w:color w:val="0000FF"/>
      <w:u w:val="single"/>
    </w:rPr>
  </w:style>
  <w:style w:type="paragraph" w:styleId="Textpoznmkypodiarou">
    <w:name w:val="footnote text"/>
    <w:aliases w:val="Text poznámky pod čiarou 007,Schriftart: 9 pt,Schriftart: 10 pt,Schriftart: 8 pt,_Poznámka pod čiarou,Footnote Text Char2,Footnote Text Char1 Char,Footnote Text Char2 Char Char,Footnote Text Char1 Char Char Char Char Char Char"/>
    <w:basedOn w:val="Normlny"/>
    <w:link w:val="TextpoznmkypodiarouChar"/>
    <w:uiPriority w:val="99"/>
    <w:semiHidden/>
    <w:unhideWhenUsed/>
    <w:rsid w:val="00276315"/>
    <w:pPr>
      <w:spacing w:after="200" w:line="276" w:lineRule="auto"/>
    </w:pPr>
    <w:rPr>
      <w:rFonts w:ascii="Calibri" w:eastAsiaTheme="minorHAnsi" w:hAnsi="Calibri" w:cs="Calibri"/>
      <w:sz w:val="20"/>
      <w:szCs w:val="20"/>
      <w:lang w:eastAsia="en-US"/>
    </w:rPr>
  </w:style>
  <w:style w:type="character" w:customStyle="1" w:styleId="TextpoznmkypodiarouChar">
    <w:name w:val="Text poznámky pod čiarou Char"/>
    <w:aliases w:val="Text poznámky pod čiarou 007 Char,Schriftart: 9 pt Char,Schriftart: 10 pt Char,Schriftart: 8 pt Char,_Poznámka pod čiarou Char,Footnote Text Char2 Char,Footnote Text Char1 Char Char,Footnote Text Char2 Char Char Char"/>
    <w:basedOn w:val="Predvolenpsmoodseku"/>
    <w:link w:val="Textpoznmkypodiarou"/>
    <w:uiPriority w:val="99"/>
    <w:semiHidden/>
    <w:rsid w:val="00276315"/>
    <w:rPr>
      <w:rFonts w:ascii="Calibri" w:hAnsi="Calibri" w:cs="Calibri"/>
      <w:sz w:val="20"/>
      <w:szCs w:val="20"/>
    </w:rPr>
  </w:style>
  <w:style w:type="character" w:styleId="Odkaznapoznmkupodiarou">
    <w:name w:val="footnote reference"/>
    <w:basedOn w:val="Predvolenpsmoodseku"/>
    <w:uiPriority w:val="99"/>
    <w:semiHidden/>
    <w:unhideWhenUsed/>
    <w:rsid w:val="00276315"/>
    <w:rPr>
      <w:rFonts w:ascii="Times New Roman" w:hAnsi="Times New Roman" w:cs="Times New Roman" w:hint="default"/>
      <w:vertAlign w:val="superscript"/>
    </w:rPr>
  </w:style>
  <w:style w:type="character" w:customStyle="1" w:styleId="Nadpis2Char">
    <w:name w:val="Nadpis 2 Char"/>
    <w:basedOn w:val="Predvolenpsmoodseku"/>
    <w:link w:val="Nadpis2"/>
    <w:uiPriority w:val="9"/>
    <w:semiHidden/>
    <w:rsid w:val="00A03C84"/>
    <w:rPr>
      <w:rFonts w:asciiTheme="majorHAnsi" w:eastAsiaTheme="majorEastAsia" w:hAnsiTheme="majorHAnsi" w:cstheme="majorBidi"/>
      <w:b/>
      <w:bCs/>
      <w:color w:val="4F81BD" w:themeColor="accent1"/>
      <w:sz w:val="26"/>
      <w:szCs w:val="26"/>
      <w:lang w:eastAsia="sk-SK"/>
    </w:rPr>
  </w:style>
  <w:style w:type="character" w:styleId="Odkaznakomentr">
    <w:name w:val="annotation reference"/>
    <w:basedOn w:val="Predvolenpsmoodseku"/>
    <w:uiPriority w:val="99"/>
    <w:semiHidden/>
    <w:unhideWhenUsed/>
    <w:rsid w:val="00D339B0"/>
    <w:rPr>
      <w:sz w:val="16"/>
      <w:szCs w:val="16"/>
    </w:rPr>
  </w:style>
  <w:style w:type="paragraph" w:styleId="Textkomentra">
    <w:name w:val="annotation text"/>
    <w:basedOn w:val="Normlny"/>
    <w:link w:val="TextkomentraChar"/>
    <w:uiPriority w:val="99"/>
    <w:semiHidden/>
    <w:unhideWhenUsed/>
    <w:rsid w:val="00D339B0"/>
    <w:rPr>
      <w:sz w:val="20"/>
      <w:szCs w:val="20"/>
    </w:rPr>
  </w:style>
  <w:style w:type="character" w:customStyle="1" w:styleId="TextkomentraChar">
    <w:name w:val="Text komentára Char"/>
    <w:basedOn w:val="Predvolenpsmoodseku"/>
    <w:link w:val="Textkomentra"/>
    <w:uiPriority w:val="99"/>
    <w:semiHidden/>
    <w:rsid w:val="00D339B0"/>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D339B0"/>
    <w:rPr>
      <w:b/>
      <w:bCs/>
    </w:rPr>
  </w:style>
  <w:style w:type="character" w:customStyle="1" w:styleId="PredmetkomentraChar">
    <w:name w:val="Predmet komentára Char"/>
    <w:basedOn w:val="TextkomentraChar"/>
    <w:link w:val="Predmetkomentra"/>
    <w:uiPriority w:val="99"/>
    <w:semiHidden/>
    <w:rsid w:val="00D339B0"/>
    <w:rPr>
      <w:rFonts w:ascii="Times New Roman" w:eastAsia="Times New Roman" w:hAnsi="Times New Roman" w:cs="Times New Roman"/>
      <w:b/>
      <w:bCs/>
      <w:sz w:val="20"/>
      <w:szCs w:val="20"/>
      <w:lang w:eastAsia="sk-SK"/>
    </w:rPr>
  </w:style>
  <w:style w:type="paragraph" w:styleId="Bezriadkovania">
    <w:name w:val="No Spacing"/>
    <w:uiPriority w:val="1"/>
    <w:qFormat/>
    <w:rsid w:val="00D75266"/>
    <w:pPr>
      <w:spacing w:after="0"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F006E5"/>
    <w:pPr>
      <w:tabs>
        <w:tab w:val="center" w:pos="4536"/>
        <w:tab w:val="right" w:pos="9072"/>
      </w:tabs>
    </w:pPr>
  </w:style>
  <w:style w:type="character" w:customStyle="1" w:styleId="HlavikaChar">
    <w:name w:val="Hlavička Char"/>
    <w:basedOn w:val="Predvolenpsmoodseku"/>
    <w:link w:val="Hlavika"/>
    <w:uiPriority w:val="99"/>
    <w:rsid w:val="00F006E5"/>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F006E5"/>
    <w:pPr>
      <w:tabs>
        <w:tab w:val="center" w:pos="4536"/>
        <w:tab w:val="right" w:pos="9072"/>
      </w:tabs>
    </w:pPr>
  </w:style>
  <w:style w:type="character" w:customStyle="1" w:styleId="PtaChar">
    <w:name w:val="Päta Char"/>
    <w:basedOn w:val="Predvolenpsmoodseku"/>
    <w:link w:val="Pta"/>
    <w:uiPriority w:val="99"/>
    <w:rsid w:val="00F006E5"/>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01099">
      <w:bodyDiv w:val="1"/>
      <w:marLeft w:val="0"/>
      <w:marRight w:val="0"/>
      <w:marTop w:val="0"/>
      <w:marBottom w:val="0"/>
      <w:divBdr>
        <w:top w:val="none" w:sz="0" w:space="0" w:color="auto"/>
        <w:left w:val="none" w:sz="0" w:space="0" w:color="auto"/>
        <w:bottom w:val="none" w:sz="0" w:space="0" w:color="auto"/>
        <w:right w:val="none" w:sz="0" w:space="0" w:color="auto"/>
      </w:divBdr>
    </w:div>
    <w:div w:id="58021417">
      <w:bodyDiv w:val="1"/>
      <w:marLeft w:val="0"/>
      <w:marRight w:val="0"/>
      <w:marTop w:val="0"/>
      <w:marBottom w:val="0"/>
      <w:divBdr>
        <w:top w:val="none" w:sz="0" w:space="0" w:color="auto"/>
        <w:left w:val="none" w:sz="0" w:space="0" w:color="auto"/>
        <w:bottom w:val="none" w:sz="0" w:space="0" w:color="auto"/>
        <w:right w:val="none" w:sz="0" w:space="0" w:color="auto"/>
      </w:divBdr>
    </w:div>
    <w:div w:id="58327158">
      <w:bodyDiv w:val="1"/>
      <w:marLeft w:val="0"/>
      <w:marRight w:val="0"/>
      <w:marTop w:val="0"/>
      <w:marBottom w:val="0"/>
      <w:divBdr>
        <w:top w:val="none" w:sz="0" w:space="0" w:color="auto"/>
        <w:left w:val="none" w:sz="0" w:space="0" w:color="auto"/>
        <w:bottom w:val="none" w:sz="0" w:space="0" w:color="auto"/>
        <w:right w:val="none" w:sz="0" w:space="0" w:color="auto"/>
      </w:divBdr>
    </w:div>
    <w:div w:id="85729248">
      <w:bodyDiv w:val="1"/>
      <w:marLeft w:val="0"/>
      <w:marRight w:val="0"/>
      <w:marTop w:val="0"/>
      <w:marBottom w:val="0"/>
      <w:divBdr>
        <w:top w:val="none" w:sz="0" w:space="0" w:color="auto"/>
        <w:left w:val="none" w:sz="0" w:space="0" w:color="auto"/>
        <w:bottom w:val="none" w:sz="0" w:space="0" w:color="auto"/>
        <w:right w:val="none" w:sz="0" w:space="0" w:color="auto"/>
      </w:divBdr>
    </w:div>
    <w:div w:id="93482531">
      <w:bodyDiv w:val="1"/>
      <w:marLeft w:val="0"/>
      <w:marRight w:val="0"/>
      <w:marTop w:val="0"/>
      <w:marBottom w:val="0"/>
      <w:divBdr>
        <w:top w:val="none" w:sz="0" w:space="0" w:color="auto"/>
        <w:left w:val="none" w:sz="0" w:space="0" w:color="auto"/>
        <w:bottom w:val="none" w:sz="0" w:space="0" w:color="auto"/>
        <w:right w:val="none" w:sz="0" w:space="0" w:color="auto"/>
      </w:divBdr>
    </w:div>
    <w:div w:id="131990817">
      <w:bodyDiv w:val="1"/>
      <w:marLeft w:val="0"/>
      <w:marRight w:val="0"/>
      <w:marTop w:val="0"/>
      <w:marBottom w:val="0"/>
      <w:divBdr>
        <w:top w:val="none" w:sz="0" w:space="0" w:color="auto"/>
        <w:left w:val="none" w:sz="0" w:space="0" w:color="auto"/>
        <w:bottom w:val="none" w:sz="0" w:space="0" w:color="auto"/>
        <w:right w:val="none" w:sz="0" w:space="0" w:color="auto"/>
      </w:divBdr>
    </w:div>
    <w:div w:id="237788498">
      <w:bodyDiv w:val="1"/>
      <w:marLeft w:val="0"/>
      <w:marRight w:val="0"/>
      <w:marTop w:val="0"/>
      <w:marBottom w:val="0"/>
      <w:divBdr>
        <w:top w:val="none" w:sz="0" w:space="0" w:color="auto"/>
        <w:left w:val="none" w:sz="0" w:space="0" w:color="auto"/>
        <w:bottom w:val="none" w:sz="0" w:space="0" w:color="auto"/>
        <w:right w:val="none" w:sz="0" w:space="0" w:color="auto"/>
      </w:divBdr>
    </w:div>
    <w:div w:id="337735899">
      <w:bodyDiv w:val="1"/>
      <w:marLeft w:val="0"/>
      <w:marRight w:val="0"/>
      <w:marTop w:val="0"/>
      <w:marBottom w:val="0"/>
      <w:divBdr>
        <w:top w:val="none" w:sz="0" w:space="0" w:color="auto"/>
        <w:left w:val="none" w:sz="0" w:space="0" w:color="auto"/>
        <w:bottom w:val="none" w:sz="0" w:space="0" w:color="auto"/>
        <w:right w:val="none" w:sz="0" w:space="0" w:color="auto"/>
      </w:divBdr>
    </w:div>
    <w:div w:id="436829909">
      <w:bodyDiv w:val="1"/>
      <w:marLeft w:val="0"/>
      <w:marRight w:val="0"/>
      <w:marTop w:val="0"/>
      <w:marBottom w:val="0"/>
      <w:divBdr>
        <w:top w:val="none" w:sz="0" w:space="0" w:color="auto"/>
        <w:left w:val="none" w:sz="0" w:space="0" w:color="auto"/>
        <w:bottom w:val="none" w:sz="0" w:space="0" w:color="auto"/>
        <w:right w:val="none" w:sz="0" w:space="0" w:color="auto"/>
      </w:divBdr>
    </w:div>
    <w:div w:id="499857619">
      <w:bodyDiv w:val="1"/>
      <w:marLeft w:val="0"/>
      <w:marRight w:val="0"/>
      <w:marTop w:val="0"/>
      <w:marBottom w:val="0"/>
      <w:divBdr>
        <w:top w:val="none" w:sz="0" w:space="0" w:color="auto"/>
        <w:left w:val="none" w:sz="0" w:space="0" w:color="auto"/>
        <w:bottom w:val="none" w:sz="0" w:space="0" w:color="auto"/>
        <w:right w:val="none" w:sz="0" w:space="0" w:color="auto"/>
      </w:divBdr>
    </w:div>
    <w:div w:id="515314542">
      <w:bodyDiv w:val="1"/>
      <w:marLeft w:val="0"/>
      <w:marRight w:val="0"/>
      <w:marTop w:val="0"/>
      <w:marBottom w:val="0"/>
      <w:divBdr>
        <w:top w:val="none" w:sz="0" w:space="0" w:color="auto"/>
        <w:left w:val="none" w:sz="0" w:space="0" w:color="auto"/>
        <w:bottom w:val="none" w:sz="0" w:space="0" w:color="auto"/>
        <w:right w:val="none" w:sz="0" w:space="0" w:color="auto"/>
      </w:divBdr>
    </w:div>
    <w:div w:id="735325730">
      <w:bodyDiv w:val="1"/>
      <w:marLeft w:val="0"/>
      <w:marRight w:val="0"/>
      <w:marTop w:val="0"/>
      <w:marBottom w:val="0"/>
      <w:divBdr>
        <w:top w:val="none" w:sz="0" w:space="0" w:color="auto"/>
        <w:left w:val="none" w:sz="0" w:space="0" w:color="auto"/>
        <w:bottom w:val="none" w:sz="0" w:space="0" w:color="auto"/>
        <w:right w:val="none" w:sz="0" w:space="0" w:color="auto"/>
      </w:divBdr>
    </w:div>
    <w:div w:id="798449625">
      <w:bodyDiv w:val="1"/>
      <w:marLeft w:val="0"/>
      <w:marRight w:val="0"/>
      <w:marTop w:val="0"/>
      <w:marBottom w:val="0"/>
      <w:divBdr>
        <w:top w:val="none" w:sz="0" w:space="0" w:color="auto"/>
        <w:left w:val="none" w:sz="0" w:space="0" w:color="auto"/>
        <w:bottom w:val="none" w:sz="0" w:space="0" w:color="auto"/>
        <w:right w:val="none" w:sz="0" w:space="0" w:color="auto"/>
      </w:divBdr>
    </w:div>
    <w:div w:id="860239632">
      <w:bodyDiv w:val="1"/>
      <w:marLeft w:val="0"/>
      <w:marRight w:val="0"/>
      <w:marTop w:val="0"/>
      <w:marBottom w:val="0"/>
      <w:divBdr>
        <w:top w:val="none" w:sz="0" w:space="0" w:color="auto"/>
        <w:left w:val="none" w:sz="0" w:space="0" w:color="auto"/>
        <w:bottom w:val="none" w:sz="0" w:space="0" w:color="auto"/>
        <w:right w:val="none" w:sz="0" w:space="0" w:color="auto"/>
      </w:divBdr>
    </w:div>
    <w:div w:id="953250108">
      <w:bodyDiv w:val="1"/>
      <w:marLeft w:val="0"/>
      <w:marRight w:val="0"/>
      <w:marTop w:val="0"/>
      <w:marBottom w:val="0"/>
      <w:divBdr>
        <w:top w:val="none" w:sz="0" w:space="0" w:color="auto"/>
        <w:left w:val="none" w:sz="0" w:space="0" w:color="auto"/>
        <w:bottom w:val="none" w:sz="0" w:space="0" w:color="auto"/>
        <w:right w:val="none" w:sz="0" w:space="0" w:color="auto"/>
      </w:divBdr>
    </w:div>
    <w:div w:id="993145659">
      <w:bodyDiv w:val="1"/>
      <w:marLeft w:val="0"/>
      <w:marRight w:val="0"/>
      <w:marTop w:val="0"/>
      <w:marBottom w:val="0"/>
      <w:divBdr>
        <w:top w:val="none" w:sz="0" w:space="0" w:color="auto"/>
        <w:left w:val="none" w:sz="0" w:space="0" w:color="auto"/>
        <w:bottom w:val="none" w:sz="0" w:space="0" w:color="auto"/>
        <w:right w:val="none" w:sz="0" w:space="0" w:color="auto"/>
      </w:divBdr>
    </w:div>
    <w:div w:id="1018892510">
      <w:bodyDiv w:val="1"/>
      <w:marLeft w:val="0"/>
      <w:marRight w:val="0"/>
      <w:marTop w:val="0"/>
      <w:marBottom w:val="0"/>
      <w:divBdr>
        <w:top w:val="none" w:sz="0" w:space="0" w:color="auto"/>
        <w:left w:val="none" w:sz="0" w:space="0" w:color="auto"/>
        <w:bottom w:val="none" w:sz="0" w:space="0" w:color="auto"/>
        <w:right w:val="none" w:sz="0" w:space="0" w:color="auto"/>
      </w:divBdr>
    </w:div>
    <w:div w:id="1208684388">
      <w:bodyDiv w:val="1"/>
      <w:marLeft w:val="0"/>
      <w:marRight w:val="0"/>
      <w:marTop w:val="0"/>
      <w:marBottom w:val="0"/>
      <w:divBdr>
        <w:top w:val="none" w:sz="0" w:space="0" w:color="auto"/>
        <w:left w:val="none" w:sz="0" w:space="0" w:color="auto"/>
        <w:bottom w:val="none" w:sz="0" w:space="0" w:color="auto"/>
        <w:right w:val="none" w:sz="0" w:space="0" w:color="auto"/>
      </w:divBdr>
    </w:div>
    <w:div w:id="1373656633">
      <w:bodyDiv w:val="1"/>
      <w:marLeft w:val="0"/>
      <w:marRight w:val="0"/>
      <w:marTop w:val="0"/>
      <w:marBottom w:val="0"/>
      <w:divBdr>
        <w:top w:val="none" w:sz="0" w:space="0" w:color="auto"/>
        <w:left w:val="none" w:sz="0" w:space="0" w:color="auto"/>
        <w:bottom w:val="none" w:sz="0" w:space="0" w:color="auto"/>
        <w:right w:val="none" w:sz="0" w:space="0" w:color="auto"/>
      </w:divBdr>
    </w:div>
    <w:div w:id="1523859809">
      <w:bodyDiv w:val="1"/>
      <w:marLeft w:val="0"/>
      <w:marRight w:val="0"/>
      <w:marTop w:val="0"/>
      <w:marBottom w:val="0"/>
      <w:divBdr>
        <w:top w:val="none" w:sz="0" w:space="0" w:color="auto"/>
        <w:left w:val="none" w:sz="0" w:space="0" w:color="auto"/>
        <w:bottom w:val="none" w:sz="0" w:space="0" w:color="auto"/>
        <w:right w:val="none" w:sz="0" w:space="0" w:color="auto"/>
      </w:divBdr>
    </w:div>
    <w:div w:id="1576403207">
      <w:bodyDiv w:val="1"/>
      <w:marLeft w:val="0"/>
      <w:marRight w:val="0"/>
      <w:marTop w:val="0"/>
      <w:marBottom w:val="0"/>
      <w:divBdr>
        <w:top w:val="none" w:sz="0" w:space="0" w:color="auto"/>
        <w:left w:val="none" w:sz="0" w:space="0" w:color="auto"/>
        <w:bottom w:val="none" w:sz="0" w:space="0" w:color="auto"/>
        <w:right w:val="none" w:sz="0" w:space="0" w:color="auto"/>
      </w:divBdr>
    </w:div>
    <w:div w:id="1606116155">
      <w:bodyDiv w:val="1"/>
      <w:marLeft w:val="0"/>
      <w:marRight w:val="0"/>
      <w:marTop w:val="0"/>
      <w:marBottom w:val="0"/>
      <w:divBdr>
        <w:top w:val="none" w:sz="0" w:space="0" w:color="auto"/>
        <w:left w:val="none" w:sz="0" w:space="0" w:color="auto"/>
        <w:bottom w:val="none" w:sz="0" w:space="0" w:color="auto"/>
        <w:right w:val="none" w:sz="0" w:space="0" w:color="auto"/>
      </w:divBdr>
    </w:div>
    <w:div w:id="1649358287">
      <w:bodyDiv w:val="1"/>
      <w:marLeft w:val="0"/>
      <w:marRight w:val="0"/>
      <w:marTop w:val="0"/>
      <w:marBottom w:val="0"/>
      <w:divBdr>
        <w:top w:val="none" w:sz="0" w:space="0" w:color="auto"/>
        <w:left w:val="none" w:sz="0" w:space="0" w:color="auto"/>
        <w:bottom w:val="none" w:sz="0" w:space="0" w:color="auto"/>
        <w:right w:val="none" w:sz="0" w:space="0" w:color="auto"/>
      </w:divBdr>
    </w:div>
    <w:div w:id="1693915674">
      <w:bodyDiv w:val="1"/>
      <w:marLeft w:val="0"/>
      <w:marRight w:val="0"/>
      <w:marTop w:val="0"/>
      <w:marBottom w:val="0"/>
      <w:divBdr>
        <w:top w:val="none" w:sz="0" w:space="0" w:color="auto"/>
        <w:left w:val="none" w:sz="0" w:space="0" w:color="auto"/>
        <w:bottom w:val="none" w:sz="0" w:space="0" w:color="auto"/>
        <w:right w:val="none" w:sz="0" w:space="0" w:color="auto"/>
      </w:divBdr>
    </w:div>
    <w:div w:id="1794403088">
      <w:bodyDiv w:val="1"/>
      <w:marLeft w:val="0"/>
      <w:marRight w:val="0"/>
      <w:marTop w:val="0"/>
      <w:marBottom w:val="0"/>
      <w:divBdr>
        <w:top w:val="none" w:sz="0" w:space="0" w:color="auto"/>
        <w:left w:val="none" w:sz="0" w:space="0" w:color="auto"/>
        <w:bottom w:val="none" w:sz="0" w:space="0" w:color="auto"/>
        <w:right w:val="none" w:sz="0" w:space="0" w:color="auto"/>
      </w:divBdr>
    </w:div>
    <w:div w:id="1871608700">
      <w:bodyDiv w:val="1"/>
      <w:marLeft w:val="0"/>
      <w:marRight w:val="0"/>
      <w:marTop w:val="0"/>
      <w:marBottom w:val="0"/>
      <w:divBdr>
        <w:top w:val="none" w:sz="0" w:space="0" w:color="auto"/>
        <w:left w:val="none" w:sz="0" w:space="0" w:color="auto"/>
        <w:bottom w:val="none" w:sz="0" w:space="0" w:color="auto"/>
        <w:right w:val="none" w:sz="0" w:space="0" w:color="auto"/>
      </w:divBdr>
    </w:div>
    <w:div w:id="1886017821">
      <w:bodyDiv w:val="1"/>
      <w:marLeft w:val="0"/>
      <w:marRight w:val="0"/>
      <w:marTop w:val="0"/>
      <w:marBottom w:val="0"/>
      <w:divBdr>
        <w:top w:val="none" w:sz="0" w:space="0" w:color="auto"/>
        <w:left w:val="none" w:sz="0" w:space="0" w:color="auto"/>
        <w:bottom w:val="none" w:sz="0" w:space="0" w:color="auto"/>
        <w:right w:val="none" w:sz="0" w:space="0" w:color="auto"/>
      </w:divBdr>
    </w:div>
    <w:div w:id="1952931239">
      <w:bodyDiv w:val="1"/>
      <w:marLeft w:val="0"/>
      <w:marRight w:val="0"/>
      <w:marTop w:val="0"/>
      <w:marBottom w:val="0"/>
      <w:divBdr>
        <w:top w:val="none" w:sz="0" w:space="0" w:color="auto"/>
        <w:left w:val="none" w:sz="0" w:space="0" w:color="auto"/>
        <w:bottom w:val="none" w:sz="0" w:space="0" w:color="auto"/>
        <w:right w:val="none" w:sz="0" w:space="0" w:color="auto"/>
      </w:divBdr>
    </w:div>
    <w:div w:id="2102723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ec.europa.eu/europe2020/europe-2020-in-a-nutshell/flagship-initiatives/index_sk.htm" TargetMode="External"/><Relationship Id="rId14"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3EA50-E4A4-4BDB-BEC0-A7C123D7D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7131</Words>
  <Characters>40649</Characters>
  <Application>Microsoft Office Word</Application>
  <DocSecurity>0</DocSecurity>
  <Lines>338</Lines>
  <Paragraphs>95</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47685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Hradská Lacková</dc:creator>
  <cp:lastModifiedBy>Zuzana Lovíšková</cp:lastModifiedBy>
  <cp:revision>2</cp:revision>
  <cp:lastPrinted>2013-04-03T09:43:00Z</cp:lastPrinted>
  <dcterms:created xsi:type="dcterms:W3CDTF">2013-04-09T12:59:00Z</dcterms:created>
  <dcterms:modified xsi:type="dcterms:W3CDTF">2013-04-09T12:59:00Z</dcterms:modified>
</cp:coreProperties>
</file>